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4FB04">
      <w:pPr>
        <w:spacing w:line="360" w:lineRule="auto"/>
        <w:jc w:val="center"/>
        <w:outlineLvl w:val="1"/>
        <w:rPr>
          <w:rFonts w:hint="eastAsia" w:ascii="宋体" w:hAnsi="宋体" w:eastAsia="宋体" w:cs="宋体"/>
          <w:b/>
          <w:bCs/>
          <w:i w:val="0"/>
          <w:iCs w:val="0"/>
          <w:color w:val="auto"/>
          <w:sz w:val="22"/>
          <w:szCs w:val="22"/>
          <w:lang w:val="en-US" w:eastAsia="zh-CN"/>
        </w:rPr>
      </w:pPr>
      <w:r>
        <w:rPr>
          <w:rFonts w:hint="eastAsia" w:ascii="宋体" w:hAnsi="宋体" w:eastAsia="宋体" w:cs="宋体"/>
          <w:b/>
          <w:bCs/>
          <w:i w:val="0"/>
          <w:iCs w:val="0"/>
          <w:color w:val="auto"/>
          <w:sz w:val="22"/>
          <w:szCs w:val="22"/>
          <w:lang w:val="en-US" w:eastAsia="zh-CN"/>
        </w:rPr>
        <w:t>韶关市曲江区小坑镇卫生院中心供氧、呼叫系统、候诊椅及药柜采购项目采购需求及审核意见</w:t>
      </w:r>
    </w:p>
    <w:p w14:paraId="401FC2AA">
      <w:pPr>
        <w:spacing w:line="360" w:lineRule="auto"/>
        <w:jc w:val="center"/>
        <w:outlineLvl w:val="1"/>
        <w:rPr>
          <w:rFonts w:hint="eastAsia" w:ascii="宋体" w:hAnsi="宋体" w:eastAsia="宋体" w:cs="宋体"/>
          <w:b/>
          <w:bCs/>
          <w:i w:val="0"/>
          <w:iCs w:val="0"/>
          <w:color w:val="auto"/>
          <w:sz w:val="22"/>
          <w:szCs w:val="22"/>
          <w:lang w:val="en-US" w:eastAsia="zh-CN"/>
        </w:rPr>
      </w:pPr>
    </w:p>
    <w:p w14:paraId="36F076E2">
      <w:pPr>
        <w:spacing w:line="360" w:lineRule="auto"/>
        <w:outlineLvl w:val="1"/>
        <w:rPr>
          <w:rFonts w:hint="eastAsia" w:ascii="宋体" w:hAnsi="宋体" w:eastAsia="宋体" w:cs="宋体"/>
          <w:b/>
          <w:bCs/>
          <w:i w:val="0"/>
          <w:iCs w:val="0"/>
          <w:color w:val="auto"/>
          <w:sz w:val="22"/>
          <w:szCs w:val="22"/>
        </w:rPr>
      </w:pPr>
      <w:r>
        <w:rPr>
          <w:rFonts w:hint="eastAsia" w:ascii="宋体" w:hAnsi="宋体" w:eastAsia="宋体" w:cs="宋体"/>
          <w:b/>
          <w:bCs/>
          <w:i w:val="0"/>
          <w:iCs w:val="0"/>
          <w:color w:val="auto"/>
          <w:sz w:val="22"/>
          <w:szCs w:val="22"/>
          <w:lang w:val="en-US" w:eastAsia="zh-CN"/>
        </w:rPr>
        <w:t>一</w:t>
      </w:r>
      <w:r>
        <w:rPr>
          <w:rFonts w:hint="eastAsia" w:ascii="宋体" w:hAnsi="宋体" w:eastAsia="宋体" w:cs="宋体"/>
          <w:b/>
          <w:bCs/>
          <w:i w:val="0"/>
          <w:iCs w:val="0"/>
          <w:color w:val="auto"/>
          <w:sz w:val="22"/>
          <w:szCs w:val="22"/>
          <w:lang w:val="en-US" w:eastAsia="zh-CN"/>
        </w:rPr>
        <w:t>、</w:t>
      </w:r>
      <w:r>
        <w:rPr>
          <w:rFonts w:hint="eastAsia" w:ascii="宋体" w:hAnsi="宋体" w:eastAsia="宋体" w:cs="宋体"/>
          <w:b/>
          <w:bCs/>
          <w:i w:val="0"/>
          <w:iCs w:val="0"/>
          <w:color w:val="auto"/>
          <w:sz w:val="22"/>
          <w:szCs w:val="22"/>
        </w:rPr>
        <w:t>采购项目内容</w:t>
      </w:r>
    </w:p>
    <w:p w14:paraId="0BE5008F">
      <w:pPr>
        <w:keepNext w:val="0"/>
        <w:keepLines w:val="0"/>
        <w:pageBreakBefore w:val="0"/>
        <w:widowControl w:val="0"/>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（一）</w:t>
      </w:r>
      <w:r>
        <w:rPr>
          <w:rFonts w:hint="eastAsia" w:ascii="宋体" w:hAnsi="宋体" w:eastAsia="宋体" w:cs="宋体"/>
          <w:b/>
          <w:bCs/>
          <w:color w:val="auto"/>
          <w:sz w:val="22"/>
          <w:szCs w:val="22"/>
          <w:highlight w:val="none"/>
          <w:lang w:val="en-US" w:eastAsia="zh-CN"/>
        </w:rPr>
        <w:t>采购需求</w:t>
      </w:r>
    </w:p>
    <w:tbl>
      <w:tblPr>
        <w:tblStyle w:val="5"/>
        <w:tblW w:w="0" w:type="auto"/>
        <w:jc w:val="center"/>
        <w:tblLayout w:type="autofit"/>
        <w:tblCellMar>
          <w:top w:w="0" w:type="dxa"/>
          <w:left w:w="0" w:type="dxa"/>
          <w:bottom w:w="0" w:type="dxa"/>
          <w:right w:w="0" w:type="dxa"/>
        </w:tblCellMar>
      </w:tblPr>
      <w:tblGrid>
        <w:gridCol w:w="862"/>
        <w:gridCol w:w="2234"/>
        <w:gridCol w:w="915"/>
        <w:gridCol w:w="2615"/>
        <w:gridCol w:w="1710"/>
      </w:tblGrid>
      <w:tr w14:paraId="523CD329">
        <w:tblPrEx>
          <w:tblCellMar>
            <w:top w:w="0" w:type="dxa"/>
            <w:left w:w="0" w:type="dxa"/>
            <w:bottom w:w="0" w:type="dxa"/>
            <w:right w:w="0" w:type="dxa"/>
          </w:tblCellMar>
        </w:tblPrEx>
        <w:trPr>
          <w:trHeight w:val="454" w:hRule="atLeast"/>
          <w:jc w:val="center"/>
        </w:trPr>
        <w:tc>
          <w:tcPr>
            <w:tcW w:w="86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BC8732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序号</w:t>
            </w:r>
          </w:p>
        </w:tc>
        <w:tc>
          <w:tcPr>
            <w:tcW w:w="223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1CCFCE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采购内容</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B0C182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数量</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96E22C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交货</w:t>
            </w:r>
            <w:r>
              <w:rPr>
                <w:rFonts w:hint="eastAsia" w:ascii="宋体" w:hAnsi="宋体" w:eastAsia="宋体" w:cs="宋体"/>
                <w:b w:val="0"/>
                <w:bCs w:val="0"/>
                <w:color w:val="auto"/>
                <w:sz w:val="22"/>
                <w:szCs w:val="22"/>
                <w:highlight w:val="none"/>
                <w:lang w:val="en-US" w:eastAsia="zh-CN"/>
              </w:rPr>
              <w:t>期</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074734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预算金额（元）</w:t>
            </w:r>
          </w:p>
        </w:tc>
      </w:tr>
      <w:tr w14:paraId="707B7D9A">
        <w:tblPrEx>
          <w:tblCellMar>
            <w:top w:w="0" w:type="dxa"/>
            <w:left w:w="0" w:type="dxa"/>
            <w:bottom w:w="0" w:type="dxa"/>
            <w:right w:w="0" w:type="dxa"/>
          </w:tblCellMar>
        </w:tblPrEx>
        <w:trPr>
          <w:trHeight w:val="889" w:hRule="atLeast"/>
          <w:jc w:val="center"/>
        </w:trPr>
        <w:tc>
          <w:tcPr>
            <w:tcW w:w="86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61D45E8">
            <w:pPr>
              <w:keepNext w:val="0"/>
              <w:keepLines w:val="0"/>
              <w:pageBreakBefore w:val="0"/>
              <w:widowControl w:val="0"/>
              <w:kinsoku/>
              <w:wordWrap/>
              <w:overflowPunct/>
              <w:topLinePunct w:val="0"/>
              <w:autoSpaceDE/>
              <w:autoSpaceDN/>
              <w:bidi w:val="0"/>
              <w:adjustRightInd/>
              <w:snapToGrid/>
              <w:spacing w:line="480" w:lineRule="exact"/>
              <w:ind w:firstLine="440" w:firstLineChars="200"/>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w:t>
            </w:r>
          </w:p>
        </w:tc>
        <w:tc>
          <w:tcPr>
            <w:tcW w:w="223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33218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auto"/>
                <w:sz w:val="22"/>
                <w:szCs w:val="22"/>
                <w:lang w:eastAsia="zh-CN"/>
              </w:rPr>
              <w:t>韶关市曲江区小坑镇卫生院中心供氧、呼叫系统、候诊椅及药柜采购项目</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2C97C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1项</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8B909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自合同签订之日起30个日历天内完成供货及验收合格。</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2EE32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auto"/>
                <w:sz w:val="22"/>
                <w:szCs w:val="22"/>
                <w:highlight w:val="none"/>
                <w:lang w:val="en-US" w:eastAsia="zh-CN"/>
              </w:rPr>
              <w:t>129,600.00</w:t>
            </w:r>
          </w:p>
        </w:tc>
      </w:tr>
    </w:tbl>
    <w:p w14:paraId="3303C1F1">
      <w:pPr>
        <w:keepNext w:val="0"/>
        <w:keepLines w:val="0"/>
        <w:pageBreakBefore w:val="0"/>
        <w:widowControl w:val="0"/>
        <w:kinsoku/>
        <w:wordWrap/>
        <w:overflowPunct/>
        <w:topLinePunct w:val="0"/>
        <w:autoSpaceDE/>
        <w:autoSpaceDN/>
        <w:bidi w:val="0"/>
        <w:adjustRightInd/>
        <w:snapToGrid/>
        <w:spacing w:line="360" w:lineRule="auto"/>
        <w:ind w:left="1070" w:leftChars="300" w:hanging="440" w:hangingChars="200"/>
        <w:textAlignment w:val="auto"/>
        <w:rPr>
          <w:rFonts w:hint="eastAsia" w:ascii="宋体" w:hAnsi="宋体" w:eastAsia="宋体" w:cs="宋体"/>
          <w:b w:val="0"/>
          <w:bCs w:val="0"/>
          <w:color w:val="auto"/>
          <w:sz w:val="22"/>
          <w:szCs w:val="22"/>
          <w:highlight w:val="none"/>
          <w:u w:val="none"/>
        </w:rPr>
      </w:pPr>
      <w:r>
        <w:rPr>
          <w:rFonts w:hint="eastAsia" w:ascii="宋体" w:hAnsi="宋体" w:eastAsia="宋体" w:cs="宋体"/>
          <w:b w:val="0"/>
          <w:bCs w:val="0"/>
          <w:color w:val="auto"/>
          <w:sz w:val="22"/>
          <w:szCs w:val="22"/>
          <w:highlight w:val="none"/>
          <w:u w:val="none"/>
        </w:rPr>
        <w:t>注：1</w:t>
      </w:r>
      <w:r>
        <w:rPr>
          <w:rFonts w:hint="eastAsia" w:ascii="宋体" w:hAnsi="宋体" w:eastAsia="宋体" w:cs="宋体"/>
          <w:b w:val="0"/>
          <w:bCs w:val="0"/>
          <w:color w:val="auto"/>
          <w:sz w:val="22"/>
          <w:szCs w:val="22"/>
          <w:highlight w:val="none"/>
          <w:u w:val="none"/>
          <w:lang w:val="en-US" w:eastAsia="zh-CN"/>
        </w:rPr>
        <w:t>.</w:t>
      </w:r>
      <w:r>
        <w:rPr>
          <w:rFonts w:hint="eastAsia" w:ascii="宋体" w:hAnsi="宋体" w:eastAsia="宋体" w:cs="宋体"/>
          <w:b w:val="0"/>
          <w:bCs w:val="0"/>
          <w:color w:val="auto"/>
          <w:sz w:val="22"/>
          <w:szCs w:val="22"/>
          <w:highlight w:val="none"/>
          <w:u w:val="none"/>
        </w:rPr>
        <w:t>报价超出预算金额的列为无效</w:t>
      </w:r>
      <w:r>
        <w:rPr>
          <w:rFonts w:hint="eastAsia" w:ascii="宋体" w:hAnsi="宋体" w:eastAsia="宋体" w:cs="宋体"/>
          <w:b w:val="0"/>
          <w:bCs w:val="0"/>
          <w:color w:val="auto"/>
          <w:sz w:val="22"/>
          <w:szCs w:val="22"/>
          <w:highlight w:val="none"/>
          <w:u w:val="none"/>
          <w:lang w:eastAsia="zh-CN"/>
        </w:rPr>
        <w:t>响应</w:t>
      </w:r>
      <w:r>
        <w:rPr>
          <w:rFonts w:hint="eastAsia" w:ascii="宋体" w:hAnsi="宋体" w:eastAsia="宋体" w:cs="宋体"/>
          <w:b w:val="0"/>
          <w:bCs w:val="0"/>
          <w:color w:val="auto"/>
          <w:sz w:val="22"/>
          <w:szCs w:val="22"/>
          <w:highlight w:val="none"/>
          <w:u w:val="none"/>
        </w:rPr>
        <w:t>处理。</w:t>
      </w:r>
    </w:p>
    <w:p w14:paraId="244EA038">
      <w:pPr>
        <w:keepNext w:val="0"/>
        <w:keepLines w:val="0"/>
        <w:pageBreakBefore w:val="0"/>
        <w:widowControl w:val="0"/>
        <w:kinsoku/>
        <w:wordWrap/>
        <w:overflowPunct/>
        <w:topLinePunct w:val="0"/>
        <w:autoSpaceDE/>
        <w:autoSpaceDN/>
        <w:bidi w:val="0"/>
        <w:adjustRightInd/>
        <w:snapToGrid/>
        <w:spacing w:line="360" w:lineRule="auto"/>
        <w:ind w:left="1070" w:leftChars="300" w:hanging="440" w:hangingChars="200"/>
        <w:textAlignment w:val="auto"/>
        <w:rPr>
          <w:rFonts w:hint="eastAsia" w:ascii="宋体" w:hAnsi="宋体" w:eastAsia="宋体" w:cs="宋体"/>
          <w:b w:val="0"/>
          <w:bCs w:val="0"/>
          <w:color w:val="auto"/>
          <w:sz w:val="22"/>
          <w:szCs w:val="22"/>
          <w:highlight w:val="none"/>
          <w:u w:val="none"/>
        </w:rPr>
      </w:pPr>
      <w:r>
        <w:rPr>
          <w:rFonts w:hint="eastAsia" w:ascii="宋体" w:hAnsi="宋体" w:eastAsia="宋体" w:cs="宋体"/>
          <w:b w:val="0"/>
          <w:bCs w:val="0"/>
          <w:color w:val="auto"/>
          <w:sz w:val="22"/>
          <w:szCs w:val="22"/>
          <w:highlight w:val="none"/>
          <w:u w:val="none"/>
        </w:rPr>
        <w:t>2</w:t>
      </w:r>
      <w:r>
        <w:rPr>
          <w:rFonts w:hint="eastAsia" w:ascii="宋体" w:hAnsi="宋体" w:eastAsia="宋体" w:cs="宋体"/>
          <w:b w:val="0"/>
          <w:bCs w:val="0"/>
          <w:color w:val="auto"/>
          <w:sz w:val="22"/>
          <w:szCs w:val="22"/>
          <w:highlight w:val="none"/>
          <w:u w:val="none"/>
          <w:lang w:val="en-US" w:eastAsia="zh-CN"/>
        </w:rPr>
        <w:t>.</w:t>
      </w:r>
      <w:r>
        <w:rPr>
          <w:rFonts w:hint="eastAsia" w:ascii="宋体" w:hAnsi="宋体" w:eastAsia="宋体" w:cs="宋体"/>
          <w:b w:val="0"/>
          <w:bCs w:val="0"/>
          <w:color w:val="auto"/>
          <w:sz w:val="22"/>
          <w:szCs w:val="22"/>
          <w:highlight w:val="none"/>
          <w:u w:val="none"/>
          <w:lang w:eastAsia="zh-CN"/>
        </w:rPr>
        <w:t>供应商</w:t>
      </w:r>
      <w:r>
        <w:rPr>
          <w:rFonts w:hint="eastAsia" w:ascii="宋体" w:hAnsi="宋体" w:eastAsia="宋体" w:cs="宋体"/>
          <w:b w:val="0"/>
          <w:bCs w:val="0"/>
          <w:color w:val="auto"/>
          <w:sz w:val="22"/>
          <w:szCs w:val="22"/>
          <w:highlight w:val="none"/>
          <w:u w:val="none"/>
        </w:rPr>
        <w:t>必须对本项目的全部内容进行报价，如有缺漏，将导致无效</w:t>
      </w:r>
      <w:r>
        <w:rPr>
          <w:rFonts w:hint="eastAsia" w:ascii="宋体" w:hAnsi="宋体" w:eastAsia="宋体" w:cs="宋体"/>
          <w:b w:val="0"/>
          <w:bCs w:val="0"/>
          <w:color w:val="auto"/>
          <w:sz w:val="22"/>
          <w:szCs w:val="22"/>
          <w:highlight w:val="none"/>
          <w:u w:val="none"/>
          <w:lang w:eastAsia="zh-CN"/>
        </w:rPr>
        <w:t>响应</w:t>
      </w:r>
      <w:r>
        <w:rPr>
          <w:rFonts w:hint="eastAsia" w:ascii="宋体" w:hAnsi="宋体" w:eastAsia="宋体" w:cs="宋体"/>
          <w:b w:val="0"/>
          <w:bCs w:val="0"/>
          <w:color w:val="auto"/>
          <w:sz w:val="22"/>
          <w:szCs w:val="22"/>
          <w:highlight w:val="none"/>
          <w:u w:val="none"/>
        </w:rPr>
        <w:t>。</w:t>
      </w:r>
    </w:p>
    <w:p w14:paraId="1941295A">
      <w:pPr>
        <w:keepNext w:val="0"/>
        <w:keepLines w:val="0"/>
        <w:pageBreakBefore w:val="0"/>
        <w:widowControl w:val="0"/>
        <w:kinsoku/>
        <w:wordWrap/>
        <w:overflowPunct/>
        <w:topLinePunct w:val="0"/>
        <w:autoSpaceDE/>
        <w:autoSpaceDN/>
        <w:bidi w:val="0"/>
        <w:adjustRightInd/>
        <w:snapToGrid/>
        <w:spacing w:line="360" w:lineRule="auto"/>
        <w:ind w:left="1070" w:leftChars="300" w:hanging="440" w:hangingChars="200"/>
        <w:textAlignment w:val="auto"/>
        <w:rPr>
          <w:rFonts w:hint="eastAsia" w:ascii="宋体" w:hAnsi="宋体" w:eastAsia="宋体" w:cs="宋体"/>
          <w:b w:val="0"/>
          <w:bCs w:val="0"/>
          <w:color w:val="auto"/>
          <w:sz w:val="22"/>
          <w:szCs w:val="22"/>
          <w:highlight w:val="none"/>
          <w:u w:val="none"/>
        </w:rPr>
      </w:pPr>
      <w:r>
        <w:rPr>
          <w:rFonts w:hint="eastAsia" w:ascii="宋体" w:hAnsi="宋体" w:eastAsia="宋体" w:cs="宋体"/>
          <w:b w:val="0"/>
          <w:bCs w:val="0"/>
          <w:color w:val="auto"/>
          <w:sz w:val="22"/>
          <w:szCs w:val="22"/>
          <w:highlight w:val="none"/>
          <w:u w:val="none"/>
        </w:rPr>
        <w:t>3</w:t>
      </w:r>
      <w:r>
        <w:rPr>
          <w:rFonts w:hint="eastAsia" w:ascii="宋体" w:hAnsi="宋体" w:eastAsia="宋体" w:cs="宋体"/>
          <w:b w:val="0"/>
          <w:bCs w:val="0"/>
          <w:color w:val="auto"/>
          <w:sz w:val="22"/>
          <w:szCs w:val="22"/>
          <w:highlight w:val="none"/>
          <w:u w:val="none"/>
          <w:lang w:val="en-US" w:eastAsia="zh-CN"/>
        </w:rPr>
        <w:t>.</w:t>
      </w:r>
      <w:r>
        <w:rPr>
          <w:rFonts w:hint="eastAsia" w:ascii="宋体" w:hAnsi="宋体" w:eastAsia="宋体" w:cs="宋体"/>
          <w:b w:val="0"/>
          <w:bCs w:val="0"/>
          <w:color w:val="auto"/>
          <w:sz w:val="22"/>
          <w:szCs w:val="22"/>
          <w:highlight w:val="none"/>
          <w:u w:val="none"/>
        </w:rPr>
        <w:t>报价应为人民币含税全包价，包括测试、运输、安装调试、验收等一切费用。</w:t>
      </w:r>
    </w:p>
    <w:p w14:paraId="4E2C4ABE">
      <w:pPr>
        <w:keepNext w:val="0"/>
        <w:keepLines w:val="0"/>
        <w:pageBreakBefore w:val="0"/>
        <w:widowControl w:val="0"/>
        <w:kinsoku/>
        <w:wordWrap/>
        <w:overflowPunct/>
        <w:topLinePunct w:val="0"/>
        <w:autoSpaceDE/>
        <w:autoSpaceDN/>
        <w:bidi w:val="0"/>
        <w:adjustRightInd/>
        <w:snapToGrid/>
        <w:spacing w:line="360" w:lineRule="auto"/>
        <w:ind w:left="0" w:leftChars="0" w:firstLine="663" w:firstLineChars="300"/>
        <w:textAlignment w:val="auto"/>
        <w:rPr>
          <w:rFonts w:hint="eastAsia" w:ascii="宋体" w:hAnsi="宋体" w:eastAsia="宋体" w:cs="宋体"/>
          <w:b/>
          <w:bCs/>
          <w:color w:val="auto"/>
          <w:sz w:val="22"/>
          <w:szCs w:val="22"/>
          <w:highlight w:val="none"/>
          <w:u w:val="none"/>
          <w:lang w:val="en-US" w:eastAsia="zh-CN"/>
        </w:rPr>
      </w:pPr>
      <w:r>
        <w:rPr>
          <w:rFonts w:hint="eastAsia" w:ascii="宋体" w:hAnsi="宋体" w:eastAsia="宋体" w:cs="宋体"/>
          <w:b/>
          <w:bCs/>
          <w:color w:val="auto"/>
          <w:sz w:val="22"/>
          <w:szCs w:val="22"/>
          <w:highlight w:val="none"/>
          <w:u w:val="none"/>
          <w:lang w:val="en-US" w:eastAsia="zh-CN"/>
        </w:rPr>
        <w:t>4.供应商应符合《医疗器械监督管理条例》等相关法律法规的规定：①如供应商为所投产品的制造商：所投产品为第二、三类医疗器械，提供有效的《医疗器械生产许可证》复印件。②如供应商为经销商：所投产品为第三类医疗器械，提供有效的《医疗器械经营许可证》复印件；所投产品为第二类医疗器械，提供有效的医疗器械经营备案凭证复印件。（如国家另有规定，则适用其规定，按要求提供证明文件）。该证明材料须随报价一览表一同扫描上传。</w:t>
      </w:r>
    </w:p>
    <w:p w14:paraId="7401B22B">
      <w:pPr>
        <w:keepNext/>
        <w:keepLines/>
        <w:pageBreakBefore w:val="0"/>
        <w:widowControl w:val="0"/>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（二）采购项目需求汇总表及详细技术参数</w:t>
      </w:r>
    </w:p>
    <w:tbl>
      <w:tblPr>
        <w:tblStyle w:val="5"/>
        <w:tblW w:w="82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0"/>
        <w:gridCol w:w="1760"/>
        <w:gridCol w:w="3994"/>
        <w:gridCol w:w="840"/>
        <w:gridCol w:w="764"/>
      </w:tblGrid>
      <w:tr w14:paraId="50065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981176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3844B53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产品名称</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049F315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技术参数</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A10092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3B35906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r>
      <w:tr w14:paraId="60315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1980360A">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0CA578E7">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氧气汇流排</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54F50AFB">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2+2瓶组（手动）</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25E6CE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套</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5B803DE5">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r>
      <w:tr w14:paraId="0FCAF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A00FE2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3EDA79A">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脫脂紫铜管</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750662EF">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主管/15.88*1.0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FC9D580">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米</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391BE890">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50</w:t>
            </w:r>
          </w:p>
        </w:tc>
      </w:tr>
      <w:tr w14:paraId="7AEE1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27FE6972">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3</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26FDFF9D">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脫脂紫铜管</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45D38E14">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支管</w:t>
            </w:r>
            <w:r>
              <w:rPr>
                <w:rStyle w:val="7"/>
                <w:rFonts w:hint="eastAsia" w:ascii="宋体" w:hAnsi="宋体" w:eastAsia="宋体" w:cs="宋体"/>
                <w:b w:val="0"/>
                <w:bCs w:val="0"/>
                <w:sz w:val="22"/>
                <w:szCs w:val="22"/>
                <w:lang w:val="en-US" w:eastAsia="zh-CN" w:bidi="ar"/>
              </w:rPr>
              <w:t>/8*1.0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27299B6">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米</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7791FF33">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95</w:t>
            </w:r>
          </w:p>
        </w:tc>
      </w:tr>
      <w:tr w14:paraId="67724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0003D0BE">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4</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40F34676">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铝合金设备带</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5270207">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200*55*1.5mm</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8DB86AB">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米</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5DE39894">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68</w:t>
            </w:r>
          </w:p>
        </w:tc>
      </w:tr>
      <w:tr w14:paraId="1E522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37D4FAE2">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5</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7A001F88">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房间维修阀</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DB823BE">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004型</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504BB08">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套</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35F028DE">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8</w:t>
            </w:r>
          </w:p>
        </w:tc>
      </w:tr>
      <w:tr w14:paraId="4CCB2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8B7BA74">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6</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A4D7708">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二级稳压箱</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5D6FA597">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双路</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0FA7150">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套</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04268E6D">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r>
      <w:tr w14:paraId="4956E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5E7049B0">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7</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E361FF5">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氧气终端</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5DDE58FE">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国标</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9EB5654">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7D2E3F79">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9</w:t>
            </w:r>
          </w:p>
        </w:tc>
      </w:tr>
      <w:tr w14:paraId="5B401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3E09AA93">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8</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2293894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氧气报警器</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2F511D24">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声音、灯光</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83E0078">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套</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3FA1D6E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r>
      <w:tr w14:paraId="0D8F5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793441F5">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9</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DDC50D0">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铜螺母</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8A25D2B">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004型</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2239E47">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1A959B29">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40</w:t>
            </w:r>
          </w:p>
        </w:tc>
      </w:tr>
      <w:tr w14:paraId="25A57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7FAD79C9">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10</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2BE47045">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装饰圈</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506144D0">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PVC</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AF8A403">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85677E5">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9</w:t>
            </w:r>
          </w:p>
        </w:tc>
      </w:tr>
      <w:tr w14:paraId="5DFD0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2295CBC0">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11</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FA9C7F8">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灯罩</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66AF213A">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PVC</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A16842B">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套</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5F72C7F3">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9</w:t>
            </w:r>
          </w:p>
        </w:tc>
      </w:tr>
      <w:tr w14:paraId="2DAED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8D2DF62">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12</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3CD0276D">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床头灯</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23F3C6BB">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LED</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EFDFCC1">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套</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9604841">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9</w:t>
            </w:r>
          </w:p>
        </w:tc>
      </w:tr>
      <w:tr w14:paraId="49F76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0540F640">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13</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2CE04347">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漏电开关</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473C0656">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1P+N</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16345C1">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7EF7088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6</w:t>
            </w:r>
          </w:p>
        </w:tc>
      </w:tr>
      <w:tr w14:paraId="1B2B9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0160F971">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14</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7F8F35A7">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开关</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2472A199">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大板</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4994B01">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4FE7EB63">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9</w:t>
            </w:r>
          </w:p>
        </w:tc>
      </w:tr>
      <w:tr w14:paraId="1B267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0809C256">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15</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3A431BDB">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插座</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4EDB656D">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五孔</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6E98E41">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93D2CF9">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18</w:t>
            </w:r>
          </w:p>
        </w:tc>
      </w:tr>
      <w:tr w14:paraId="340AF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3EB23DD2">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16</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42731C11">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电线</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034F4A34">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2.5平方</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FD51200">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米</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7E415042">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300</w:t>
            </w:r>
          </w:p>
        </w:tc>
      </w:tr>
      <w:tr w14:paraId="500CF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5501BC0D">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17</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03DF0FF5">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呼叫主机</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81C6E0C">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JSY-5288K</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66B766F">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台</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399A2305">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r>
      <w:tr w14:paraId="4E50E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1CD1241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18</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3ED7D17A">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呼叫分机</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3DCB61A">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HX-818</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D23031A">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40A71BA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9</w:t>
            </w:r>
          </w:p>
        </w:tc>
      </w:tr>
      <w:tr w14:paraId="52EAD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E75F51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19</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2AA43B1B">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走廊显示屏</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9972237">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HX-808(LED)</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249123E">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7C391DCA">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w:t>
            </w:r>
          </w:p>
        </w:tc>
      </w:tr>
      <w:tr w14:paraId="116CB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7EF2F306">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20</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73FFFFA6">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呼叫线</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B95EF20">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双绞铜芯线1.5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3571126">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米</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041C192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200</w:t>
            </w:r>
          </w:p>
        </w:tc>
      </w:tr>
      <w:tr w14:paraId="18150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32C7607E">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21</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8B764FF">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线槽</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0650F249">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#39</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727E03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条</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3DBB10A">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25</w:t>
            </w:r>
          </w:p>
        </w:tc>
      </w:tr>
      <w:tr w14:paraId="60AF2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3876D5E">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bookmarkStart w:id="0" w:name="_GoBack" w:colFirst="2" w:colLast="2"/>
            <w:r>
              <w:rPr>
                <w:rFonts w:hint="eastAsia" w:ascii="宋体" w:hAnsi="宋体" w:eastAsia="宋体" w:cs="宋体"/>
                <w:b w:val="0"/>
                <w:bCs w:val="0"/>
                <w:i w:val="0"/>
                <w:iCs w:val="0"/>
                <w:color w:val="000000"/>
                <w:kern w:val="0"/>
                <w:sz w:val="22"/>
                <w:szCs w:val="22"/>
                <w:u w:val="none"/>
                <w:lang w:val="en-US" w:eastAsia="zh-CN" w:bidi="ar"/>
              </w:rPr>
              <w:t>22</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9226AAD">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候诊椅</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74E08DAC">
            <w:pPr>
              <w:keepNext w:val="0"/>
              <w:keepLines w:val="0"/>
              <w:widowControl/>
              <w:numPr>
                <w:ilvl w:val="0"/>
                <w:numId w:val="0"/>
              </w:numPr>
              <w:suppressLineNumbers w:val="0"/>
              <w:jc w:val="left"/>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1.材质：连接件厚度需大于1.5mm,整体钢架表面磷化，除锈，静电喷涂处理，输液杆需是不锈钢管。</w:t>
            </w:r>
          </w:p>
          <w:p w14:paraId="7911A572">
            <w:pPr>
              <w:keepNext w:val="0"/>
              <w:keepLines w:val="0"/>
              <w:widowControl/>
              <w:numPr>
                <w:ilvl w:val="0"/>
                <w:numId w:val="0"/>
              </w:numPr>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2.椅面软垫的海绵厚度需≥5cm,久坐不易变形，座位前面需配有搁脚，躺下角度需＞120度。</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E5EDE53">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张</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496EB8C4">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10</w:t>
            </w:r>
          </w:p>
        </w:tc>
      </w:tr>
      <w:bookmarkEnd w:id="0"/>
      <w:tr w14:paraId="2A598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D6D572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23</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7A04027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highlight w:val="none"/>
                <w:u w:val="none"/>
                <w:lang w:val="en-US" w:eastAsia="zh-CN" w:bidi="ar"/>
              </w:rPr>
              <w:t>药柜</w:t>
            </w:r>
            <w:r>
              <w:rPr>
                <w:rFonts w:hint="eastAsia" w:ascii="宋体" w:hAnsi="宋体" w:eastAsia="宋体" w:cs="宋体"/>
                <w:b w:val="0"/>
                <w:bCs w:val="0"/>
                <w:i w:val="0"/>
                <w:iCs w:val="0"/>
                <w:color w:val="000000"/>
                <w:kern w:val="0"/>
                <w:sz w:val="22"/>
                <w:szCs w:val="22"/>
                <w:highlight w:val="none"/>
                <w:u w:val="none"/>
                <w:lang w:val="en-US" w:eastAsia="zh-CN" w:bidi="ar"/>
              </w:rPr>
              <w:t>（药架）</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2C740B88">
            <w:pPr>
              <w:keepNext w:val="0"/>
              <w:keepLines w:val="0"/>
              <w:widowControl/>
              <w:suppressLineNumbers w:val="0"/>
              <w:jc w:val="left"/>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优质冷轧钢制材质</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819FC2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14B7EAE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6</w:t>
            </w:r>
          </w:p>
        </w:tc>
      </w:tr>
    </w:tbl>
    <w:p w14:paraId="37251C32">
      <w:pPr>
        <w:spacing w:line="360" w:lineRule="auto"/>
        <w:outlineLvl w:val="1"/>
        <w:rPr>
          <w:rFonts w:hint="eastAsia" w:ascii="宋体" w:hAnsi="宋体" w:eastAsia="宋体" w:cs="宋体"/>
          <w:b/>
          <w:bCs/>
          <w:i w:val="0"/>
          <w:iCs w:val="0"/>
          <w:color w:val="auto"/>
          <w:sz w:val="22"/>
          <w:szCs w:val="22"/>
          <w:lang w:val="en-US" w:eastAsia="zh-CN"/>
        </w:rPr>
      </w:pPr>
    </w:p>
    <w:p w14:paraId="10A86BEA">
      <w:pPr>
        <w:spacing w:line="360" w:lineRule="auto"/>
        <w:outlineLvl w:val="1"/>
        <w:rPr>
          <w:rFonts w:hint="eastAsia" w:ascii="宋体" w:hAnsi="宋体" w:eastAsia="宋体" w:cs="宋体"/>
          <w:b/>
          <w:bCs/>
          <w:i w:val="0"/>
          <w:iCs w:val="0"/>
          <w:color w:val="auto"/>
          <w:sz w:val="22"/>
          <w:szCs w:val="22"/>
          <w:lang w:val="en-US" w:eastAsia="zh-CN"/>
        </w:rPr>
      </w:pPr>
      <w:r>
        <w:rPr>
          <w:rFonts w:hint="eastAsia" w:ascii="宋体" w:hAnsi="宋体" w:eastAsia="宋体" w:cs="宋体"/>
          <w:b/>
          <w:bCs/>
          <w:i w:val="0"/>
          <w:iCs w:val="0"/>
          <w:color w:val="auto"/>
          <w:sz w:val="22"/>
          <w:szCs w:val="22"/>
          <w:lang w:val="en-US" w:eastAsia="zh-CN"/>
        </w:rPr>
        <w:t>二、商务要求</w:t>
      </w:r>
    </w:p>
    <w:p w14:paraId="01A42AE5">
      <w:pPr>
        <w:spacing w:line="360" w:lineRule="auto"/>
        <w:outlineLvl w:val="1"/>
        <w:rPr>
          <w:rFonts w:hint="eastAsia" w:ascii="宋体" w:hAnsi="宋体" w:eastAsia="宋体" w:cs="宋体"/>
          <w:b/>
          <w:bCs/>
          <w:i w:val="0"/>
          <w:iCs w:val="0"/>
          <w:color w:val="auto"/>
          <w:sz w:val="22"/>
          <w:szCs w:val="22"/>
          <w:lang w:val="en-US" w:eastAsia="zh-CN"/>
        </w:rPr>
      </w:pPr>
      <w:r>
        <w:rPr>
          <w:rFonts w:hint="eastAsia" w:ascii="宋体" w:hAnsi="宋体" w:eastAsia="宋体" w:cs="宋体"/>
          <w:b/>
          <w:bCs/>
          <w:i w:val="0"/>
          <w:iCs w:val="0"/>
          <w:color w:val="auto"/>
          <w:sz w:val="22"/>
          <w:szCs w:val="22"/>
          <w:lang w:val="en-US" w:eastAsia="zh-CN"/>
        </w:rPr>
        <w:t>（一）货物质量要求</w:t>
      </w:r>
    </w:p>
    <w:p w14:paraId="00A3F4C1">
      <w:pPr>
        <w:pStyle w:val="4"/>
        <w:numPr>
          <w:ilvl w:val="0"/>
          <w:numId w:val="1"/>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所有货物必须是全新、原装的产品，符合国家或行业质量检测标准，必要时提供货物的产品检验报告供采购人核查。</w:t>
      </w:r>
    </w:p>
    <w:p w14:paraId="4D731A06">
      <w:pPr>
        <w:pStyle w:val="4"/>
        <w:numPr>
          <w:ilvl w:val="0"/>
          <w:numId w:val="1"/>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提供的货物需按国家、行业有关标准包装，且需为制造商原厂包装，均应有良好的防湿、防锈、防潮、防雨、防腐及防碰撞的保护。</w:t>
      </w:r>
    </w:p>
    <w:p w14:paraId="53781DE0">
      <w:pPr>
        <w:pStyle w:val="4"/>
        <w:numPr>
          <w:ilvl w:val="0"/>
          <w:numId w:val="1"/>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每件货物包装箱内附一份详细装箱清单及质量合格证。</w:t>
      </w:r>
    </w:p>
    <w:p w14:paraId="5E5609EA">
      <w:pPr>
        <w:pStyle w:val="4"/>
        <w:numPr>
          <w:ilvl w:val="0"/>
          <w:numId w:val="1"/>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成交供应商应保证设备在不需要增配未列出配件（特别指出的除外）的前提下货物功能、技术标准能够达到</w:t>
      </w:r>
      <w:r>
        <w:rPr>
          <w:rFonts w:hint="eastAsia" w:ascii="宋体" w:hAnsi="宋体" w:eastAsia="宋体" w:cs="宋体"/>
          <w:b w:val="0"/>
          <w:bCs w:val="0"/>
          <w:sz w:val="22"/>
          <w:szCs w:val="22"/>
          <w:highlight w:val="none"/>
          <w:lang w:val="en-US" w:eastAsia="zh-CN"/>
        </w:rPr>
        <w:t>询价通知书</w:t>
      </w:r>
      <w:r>
        <w:rPr>
          <w:rFonts w:hint="eastAsia" w:ascii="宋体" w:hAnsi="宋体" w:eastAsia="宋体" w:cs="宋体"/>
          <w:b w:val="0"/>
          <w:bCs w:val="0"/>
          <w:sz w:val="22"/>
          <w:szCs w:val="22"/>
          <w:highlight w:val="none"/>
          <w:lang w:val="en-US" w:eastAsia="zh-CN"/>
        </w:rPr>
        <w:t>的要求，而无须再增配未列出的配件；如</w:t>
      </w:r>
      <w:r>
        <w:rPr>
          <w:rFonts w:hint="eastAsia" w:ascii="宋体" w:hAnsi="宋体" w:eastAsia="宋体" w:cs="宋体"/>
          <w:b w:val="0"/>
          <w:bCs w:val="0"/>
          <w:sz w:val="22"/>
          <w:szCs w:val="22"/>
          <w:highlight w:val="none"/>
          <w:lang w:val="en-US" w:eastAsia="zh-CN"/>
        </w:rPr>
        <w:t>供应商</w:t>
      </w:r>
      <w:r>
        <w:rPr>
          <w:rFonts w:hint="eastAsia" w:ascii="宋体" w:hAnsi="宋体" w:eastAsia="宋体" w:cs="宋体"/>
          <w:b w:val="0"/>
          <w:bCs w:val="0"/>
          <w:sz w:val="22"/>
          <w:szCs w:val="22"/>
          <w:highlight w:val="none"/>
          <w:lang w:val="en-US" w:eastAsia="zh-CN"/>
        </w:rPr>
        <w:t>所提供的产品需要增配配件才能达到要求的，所增配的配件须由</w:t>
      </w:r>
      <w:r>
        <w:rPr>
          <w:rFonts w:hint="eastAsia" w:ascii="宋体" w:hAnsi="宋体" w:eastAsia="宋体" w:cs="宋体"/>
          <w:b w:val="0"/>
          <w:bCs w:val="0"/>
          <w:sz w:val="22"/>
          <w:szCs w:val="22"/>
          <w:highlight w:val="none"/>
          <w:lang w:val="en-US" w:eastAsia="zh-CN"/>
        </w:rPr>
        <w:t>供应商</w:t>
      </w:r>
      <w:r>
        <w:rPr>
          <w:rFonts w:hint="eastAsia" w:ascii="宋体" w:hAnsi="宋体" w:eastAsia="宋体" w:cs="宋体"/>
          <w:b w:val="0"/>
          <w:bCs w:val="0"/>
          <w:sz w:val="22"/>
          <w:szCs w:val="22"/>
          <w:highlight w:val="none"/>
          <w:lang w:val="en-US" w:eastAsia="zh-CN"/>
        </w:rPr>
        <w:t>提供，并承担上述产生的费用。</w:t>
      </w:r>
    </w:p>
    <w:p w14:paraId="25F07985">
      <w:pPr>
        <w:pStyle w:val="4"/>
        <w:numPr>
          <w:ilvl w:val="0"/>
          <w:numId w:val="1"/>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货物在验收合格前的保险由</w:t>
      </w:r>
      <w:r>
        <w:rPr>
          <w:rFonts w:hint="eastAsia" w:ascii="宋体" w:hAnsi="宋体" w:eastAsia="宋体" w:cs="宋体"/>
          <w:b w:val="0"/>
          <w:bCs w:val="0"/>
          <w:sz w:val="22"/>
          <w:szCs w:val="22"/>
          <w:highlight w:val="none"/>
          <w:lang w:val="en-US" w:eastAsia="zh-CN"/>
        </w:rPr>
        <w:t>供应商</w:t>
      </w:r>
      <w:r>
        <w:rPr>
          <w:rFonts w:hint="eastAsia" w:ascii="宋体" w:hAnsi="宋体" w:eastAsia="宋体" w:cs="宋体"/>
          <w:b w:val="0"/>
          <w:bCs w:val="0"/>
          <w:sz w:val="22"/>
          <w:szCs w:val="22"/>
          <w:highlight w:val="none"/>
          <w:lang w:val="en-US" w:eastAsia="zh-CN"/>
        </w:rPr>
        <w:t>负责，且</w:t>
      </w:r>
      <w:r>
        <w:rPr>
          <w:rFonts w:hint="eastAsia" w:ascii="宋体" w:hAnsi="宋体" w:eastAsia="宋体" w:cs="宋体"/>
          <w:b w:val="0"/>
          <w:bCs w:val="0"/>
          <w:sz w:val="22"/>
          <w:szCs w:val="22"/>
          <w:highlight w:val="none"/>
          <w:lang w:val="en-US" w:eastAsia="zh-CN"/>
        </w:rPr>
        <w:t>供应商</w:t>
      </w:r>
      <w:r>
        <w:rPr>
          <w:rFonts w:hint="eastAsia" w:ascii="宋体" w:hAnsi="宋体" w:eastAsia="宋体" w:cs="宋体"/>
          <w:b w:val="0"/>
          <w:bCs w:val="0"/>
          <w:sz w:val="22"/>
          <w:szCs w:val="22"/>
          <w:highlight w:val="none"/>
          <w:lang w:val="en-US" w:eastAsia="zh-CN"/>
        </w:rPr>
        <w:t>负责其派出的现场服务人员人身意外保险。</w:t>
      </w:r>
    </w:p>
    <w:p w14:paraId="657CC5A2">
      <w:pPr>
        <w:pStyle w:val="4"/>
        <w:spacing w:line="360" w:lineRule="auto"/>
        <w:ind w:left="0" w:leftChars="0" w:firstLine="0" w:firstLineChars="0"/>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lang w:val="en-US" w:eastAsia="zh-CN"/>
        </w:rPr>
        <w:t>（二）售后服务要求</w:t>
      </w:r>
    </w:p>
    <w:p w14:paraId="2ED07127">
      <w:pPr>
        <w:pStyle w:val="4"/>
        <w:numPr>
          <w:ilvl w:val="0"/>
          <w:numId w:val="2"/>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质量保证期为货物验收合格之日起1年，质保期内成交供应商对所供货物实行免费包换、包退、包维护保养。</w:t>
      </w:r>
    </w:p>
    <w:p w14:paraId="1E8032CE">
      <w:pPr>
        <w:pStyle w:val="4"/>
        <w:numPr>
          <w:ilvl w:val="0"/>
          <w:numId w:val="2"/>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在质量保证期内发生的质量问题，由成交供应商负责解决；任何时候，成交供应商均不能免除因货物本身的缺陷所应负的责任。</w:t>
      </w:r>
    </w:p>
    <w:p w14:paraId="3EBF62D2">
      <w:pPr>
        <w:pStyle w:val="4"/>
        <w:numPr>
          <w:ilvl w:val="0"/>
          <w:numId w:val="2"/>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对采购人的服务通知，成交供应商在接报后1小时内响应，2小时内到达现场，48小时内处理完毕。若在48小时内仍未能有效解决，成交供应商须提供同技术参数要求的产品给予采购人临时使用，并承担上述产生的费用。</w:t>
      </w:r>
    </w:p>
    <w:p w14:paraId="6E9F19D8">
      <w:pPr>
        <w:pStyle w:val="4"/>
        <w:spacing w:line="360" w:lineRule="auto"/>
        <w:ind w:left="0" w:leftChars="0" w:firstLine="0" w:firstLineChars="0"/>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lang w:val="en-US" w:eastAsia="zh-CN"/>
        </w:rPr>
        <w:t>（三）培训要求</w:t>
      </w:r>
    </w:p>
    <w:p w14:paraId="6DB496D7">
      <w:pPr>
        <w:pStyle w:val="4"/>
        <w:numPr>
          <w:ilvl w:val="0"/>
          <w:numId w:val="3"/>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成交供应商应免费对以后货物使用中涉及到应用和操作方面的技术提供培训。</w:t>
      </w:r>
    </w:p>
    <w:p w14:paraId="7DAC2F26">
      <w:pPr>
        <w:pStyle w:val="4"/>
        <w:numPr>
          <w:ilvl w:val="0"/>
          <w:numId w:val="3"/>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成交供应商应负责对用户使用、操作、保养人员进行培训，并提供相关说明和一定数量的必要的备品备件。</w:t>
      </w:r>
    </w:p>
    <w:p w14:paraId="0B8F7D21">
      <w:pPr>
        <w:pStyle w:val="4"/>
        <w:numPr>
          <w:ilvl w:val="0"/>
          <w:numId w:val="3"/>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培训工作需要在合同生效之后项目完成之前安排。</w:t>
      </w:r>
    </w:p>
    <w:p w14:paraId="504C5F03">
      <w:pPr>
        <w:pStyle w:val="4"/>
        <w:spacing w:line="360" w:lineRule="auto"/>
        <w:ind w:left="0" w:leftChars="0" w:firstLine="0" w:firstLineChars="0"/>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lang w:val="en-US" w:eastAsia="zh-CN"/>
        </w:rPr>
        <w:t>（四）验收要求</w:t>
      </w:r>
    </w:p>
    <w:p w14:paraId="5EFD8B35">
      <w:pPr>
        <w:pStyle w:val="4"/>
        <w:numPr>
          <w:ilvl w:val="0"/>
          <w:numId w:val="4"/>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 xml:space="preserve">采购人组织相关部门严格依据项目合同标的及清单逐一清点核查、验收。 </w:t>
      </w:r>
    </w:p>
    <w:p w14:paraId="46DA68C4">
      <w:pPr>
        <w:pStyle w:val="4"/>
        <w:numPr>
          <w:ilvl w:val="0"/>
          <w:numId w:val="4"/>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 xml:space="preserve">货物为原制造商制造的全新产品，无污染，无侵权行为、表面无划损、无任何缺陷隐患，在中国境内可依常规安全合法使用。 </w:t>
      </w:r>
    </w:p>
    <w:p w14:paraId="3A8DC342">
      <w:pPr>
        <w:pStyle w:val="4"/>
        <w:numPr>
          <w:ilvl w:val="0"/>
          <w:numId w:val="4"/>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交付验收标准：</w:t>
      </w:r>
    </w:p>
    <w:p w14:paraId="6BB81A7B">
      <w:pPr>
        <w:pStyle w:val="4"/>
        <w:numPr>
          <w:ilvl w:val="0"/>
          <w:numId w:val="5"/>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成交供应商提供的货物应按必须符合最新的中华人民共和国国家安全环保标准、国家有关产品质量认证标准。</w:t>
      </w:r>
    </w:p>
    <w:p w14:paraId="5E6F6891">
      <w:pPr>
        <w:pStyle w:val="4"/>
        <w:numPr>
          <w:ilvl w:val="0"/>
          <w:numId w:val="5"/>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有关标准、规范和法令之间产生差异的，应当按其中最严、最优、最新且于三者之间选择最有利于采购人的标准或规定执行。</w:t>
      </w:r>
    </w:p>
    <w:p w14:paraId="2CA6773D">
      <w:pPr>
        <w:pStyle w:val="4"/>
        <w:numPr>
          <w:ilvl w:val="0"/>
          <w:numId w:val="5"/>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国内制造的产品必须具备出厂合格证，附随的产品说明材料中表明的各项性能指标和厂家提供的技术参数，所用材料及产品外观均无缺陷。</w:t>
      </w:r>
    </w:p>
    <w:p w14:paraId="003AB056">
      <w:pPr>
        <w:pStyle w:val="4"/>
        <w:numPr>
          <w:ilvl w:val="0"/>
          <w:numId w:val="5"/>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成交供应商应将货物的用户使用手册、保修手册、有关单证资料及配备件、随附工具等交付给采购人，使用操作及安全须知等重要资料应附有中文说明。</w:t>
      </w:r>
    </w:p>
    <w:p w14:paraId="655426E8">
      <w:pPr>
        <w:pStyle w:val="4"/>
        <w:numPr>
          <w:ilvl w:val="0"/>
          <w:numId w:val="5"/>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采购人按中标人提供的供货清单检验产品合格证、使用说明书和其它的技术资料、检查产品及附件是否完整无损。如有损坏、缺件等情况，由成交供应商自行负责。</w:t>
      </w:r>
    </w:p>
    <w:p w14:paraId="53934EF3">
      <w:pPr>
        <w:pStyle w:val="4"/>
        <w:numPr>
          <w:ilvl w:val="0"/>
          <w:numId w:val="6"/>
        </w:numPr>
        <w:spacing w:line="360" w:lineRule="auto"/>
        <w:ind w:left="0" w:leftChars="0" w:firstLine="0" w:firstLineChars="0"/>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lang w:val="en-US" w:eastAsia="zh-CN"/>
        </w:rPr>
        <w:t>其他要求</w:t>
      </w:r>
    </w:p>
    <w:p w14:paraId="06348A56">
      <w:pPr>
        <w:pStyle w:val="4"/>
        <w:numPr>
          <w:ilvl w:val="0"/>
          <w:numId w:val="7"/>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按采购人采购内容与要求，采取包送货到采购人指定地点、包安装、包附件或附属材料、包质量、包安全、包工期、包文明施工、包清理项目所产生垃圾清理。</w:t>
      </w:r>
    </w:p>
    <w:p w14:paraId="40675627">
      <w:pPr>
        <w:pStyle w:val="4"/>
        <w:numPr>
          <w:ilvl w:val="0"/>
          <w:numId w:val="7"/>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若采购人按照实际需要要求成交供应商变更同档次材料或品牌的，价格不变。如发生货物技术指标与采购要求不符的，采购人有权拒收，并由成交供应商承担损失。</w:t>
      </w:r>
    </w:p>
    <w:p w14:paraId="15D3395F">
      <w:pPr>
        <w:pStyle w:val="4"/>
        <w:numPr>
          <w:ilvl w:val="0"/>
          <w:numId w:val="7"/>
        </w:numPr>
        <w:spacing w:line="360" w:lineRule="auto"/>
        <w:ind w:left="425" w:leftChars="0" w:hanging="425" w:firstLineChars="0"/>
        <w:rPr>
          <w:rFonts w:hint="eastAsia" w:ascii="宋体" w:hAnsi="宋体" w:eastAsia="宋体" w:cs="宋体"/>
          <w:b/>
          <w:bCs/>
          <w:sz w:val="22"/>
          <w:szCs w:val="22"/>
          <w:highlight w:val="none"/>
          <w:lang w:val="en-US" w:eastAsia="zh-CN"/>
        </w:rPr>
      </w:pPr>
      <w:r>
        <w:rPr>
          <w:rFonts w:hint="eastAsia" w:ascii="宋体" w:hAnsi="宋体" w:eastAsia="宋体" w:cs="宋体"/>
          <w:b w:val="0"/>
          <w:bCs w:val="0"/>
          <w:sz w:val="22"/>
          <w:szCs w:val="22"/>
          <w:highlight w:val="none"/>
          <w:lang w:val="en-US" w:eastAsia="zh-CN"/>
        </w:rPr>
        <w:t>成交供应商均不得以任何理由公开或变相拖延或延误项目实施，否则将承担由此造成的经济损失及项目实施延误的责任。</w:t>
      </w:r>
    </w:p>
    <w:p w14:paraId="0F9E4DD8">
      <w:pPr>
        <w:pStyle w:val="4"/>
        <w:spacing w:line="360" w:lineRule="auto"/>
        <w:ind w:left="0" w:leftChars="0" w:firstLine="0" w:firstLineChars="0"/>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lang w:val="en-US" w:eastAsia="zh-CN"/>
        </w:rPr>
        <w:t>（六）付款方式</w:t>
      </w:r>
    </w:p>
    <w:p w14:paraId="0CE0BDCC">
      <w:pPr>
        <w:pStyle w:val="4"/>
        <w:numPr>
          <w:ilvl w:val="0"/>
          <w:numId w:val="8"/>
        </w:numPr>
        <w:spacing w:line="360" w:lineRule="auto"/>
        <w:ind w:left="425" w:leftChars="0" w:hanging="425" w:firstLineChars="0"/>
        <w:rPr>
          <w:rFonts w:hint="eastAsia" w:ascii="宋体" w:hAnsi="宋体" w:eastAsia="宋体" w:cs="宋体"/>
          <w:b w:val="0"/>
          <w:bCs w:val="0"/>
          <w:sz w:val="22"/>
          <w:szCs w:val="22"/>
          <w:highlight w:val="none"/>
          <w:lang w:val="en-US" w:eastAsia="zh-CN"/>
        </w:rPr>
      </w:pPr>
      <w:r>
        <w:rPr>
          <w:rFonts w:hint="eastAsia" w:ascii="宋体" w:hAnsi="宋体" w:eastAsia="宋体" w:cs="宋体"/>
          <w:b w:val="0"/>
          <w:bCs w:val="0"/>
          <w:sz w:val="22"/>
          <w:szCs w:val="22"/>
          <w:highlight w:val="none"/>
          <w:lang w:val="en-US" w:eastAsia="zh-CN"/>
        </w:rPr>
        <w:t>货物到达采购人指定的地点且安装、调试完毕，经采购人验收合格、办理完全部验收手续后，采购人向成交供应商支付合同总金额的</w:t>
      </w:r>
      <w:r>
        <w:rPr>
          <w:rFonts w:hint="eastAsia" w:ascii="宋体" w:hAnsi="宋体" w:eastAsia="宋体" w:cs="宋体"/>
          <w:b w:val="0"/>
          <w:bCs w:val="0"/>
          <w:sz w:val="22"/>
          <w:szCs w:val="22"/>
          <w:highlight w:val="none"/>
          <w:lang w:val="en-US" w:eastAsia="zh-CN"/>
        </w:rPr>
        <w:t>100</w:t>
      </w:r>
      <w:r>
        <w:rPr>
          <w:rFonts w:hint="eastAsia" w:ascii="宋体" w:hAnsi="宋体" w:eastAsia="宋体" w:cs="宋体"/>
          <w:b w:val="0"/>
          <w:bCs w:val="0"/>
          <w:sz w:val="22"/>
          <w:szCs w:val="22"/>
          <w:highlight w:val="none"/>
          <w:lang w:val="en-US" w:eastAsia="zh-CN"/>
        </w:rPr>
        <w:t>%。</w:t>
      </w:r>
    </w:p>
    <w:p w14:paraId="2557EAAE">
      <w:pPr>
        <w:pStyle w:val="4"/>
        <w:numPr>
          <w:ilvl w:val="0"/>
          <w:numId w:val="8"/>
        </w:numPr>
        <w:spacing w:line="360" w:lineRule="auto"/>
        <w:ind w:left="425" w:leftChars="0" w:hanging="425" w:firstLineChars="0"/>
        <w:rPr>
          <w:rFonts w:hint="eastAsia" w:ascii="宋体" w:hAnsi="宋体" w:eastAsia="宋体" w:cs="宋体"/>
          <w:color w:val="auto"/>
          <w:sz w:val="22"/>
          <w:szCs w:val="22"/>
          <w:highlight w:val="none"/>
        </w:rPr>
      </w:pPr>
      <w:r>
        <w:rPr>
          <w:rFonts w:hint="eastAsia" w:ascii="宋体" w:hAnsi="宋体" w:eastAsia="宋体" w:cs="宋体"/>
          <w:b w:val="0"/>
          <w:bCs w:val="0"/>
          <w:sz w:val="22"/>
          <w:szCs w:val="22"/>
          <w:highlight w:val="none"/>
          <w:lang w:val="en-US" w:eastAsia="zh-CN"/>
        </w:rPr>
        <w:t>中标价为合同价，合同价款支付需中标人提供正式税务发票等相关资料。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7E12F6"/>
    <w:multiLevelType w:val="singleLevel"/>
    <w:tmpl w:val="8A7E12F6"/>
    <w:lvl w:ilvl="0" w:tentative="0">
      <w:start w:val="1"/>
      <w:numFmt w:val="decimal"/>
      <w:lvlText w:val="(%1)"/>
      <w:lvlJc w:val="left"/>
      <w:pPr>
        <w:ind w:left="425" w:hanging="425"/>
      </w:pPr>
      <w:rPr>
        <w:rFonts w:hint="default"/>
      </w:rPr>
    </w:lvl>
  </w:abstractNum>
  <w:abstractNum w:abstractNumId="1">
    <w:nsid w:val="9930ED3B"/>
    <w:multiLevelType w:val="singleLevel"/>
    <w:tmpl w:val="9930ED3B"/>
    <w:lvl w:ilvl="0" w:tentative="0">
      <w:start w:val="1"/>
      <w:numFmt w:val="decimal"/>
      <w:lvlText w:val="%1."/>
      <w:lvlJc w:val="left"/>
      <w:pPr>
        <w:ind w:left="425" w:hanging="425"/>
      </w:pPr>
      <w:rPr>
        <w:rFonts w:hint="default"/>
      </w:rPr>
    </w:lvl>
  </w:abstractNum>
  <w:abstractNum w:abstractNumId="2">
    <w:nsid w:val="AD940EC9"/>
    <w:multiLevelType w:val="singleLevel"/>
    <w:tmpl w:val="AD940EC9"/>
    <w:lvl w:ilvl="0" w:tentative="0">
      <w:start w:val="1"/>
      <w:numFmt w:val="decimal"/>
      <w:lvlText w:val="%1."/>
      <w:lvlJc w:val="left"/>
      <w:pPr>
        <w:ind w:left="425" w:hanging="425"/>
      </w:pPr>
      <w:rPr>
        <w:rFonts w:hint="default"/>
      </w:rPr>
    </w:lvl>
  </w:abstractNum>
  <w:abstractNum w:abstractNumId="3">
    <w:nsid w:val="19226620"/>
    <w:multiLevelType w:val="singleLevel"/>
    <w:tmpl w:val="19226620"/>
    <w:lvl w:ilvl="0" w:tentative="0">
      <w:start w:val="5"/>
      <w:numFmt w:val="chineseCounting"/>
      <w:suff w:val="nothing"/>
      <w:lvlText w:val="（%1）"/>
      <w:lvlJc w:val="left"/>
      <w:rPr>
        <w:rFonts w:hint="eastAsia"/>
      </w:rPr>
    </w:lvl>
  </w:abstractNum>
  <w:abstractNum w:abstractNumId="4">
    <w:nsid w:val="254AB84D"/>
    <w:multiLevelType w:val="singleLevel"/>
    <w:tmpl w:val="254AB84D"/>
    <w:lvl w:ilvl="0" w:tentative="0">
      <w:start w:val="1"/>
      <w:numFmt w:val="decimal"/>
      <w:lvlText w:val="%1."/>
      <w:lvlJc w:val="left"/>
      <w:pPr>
        <w:ind w:left="425" w:hanging="425"/>
      </w:pPr>
      <w:rPr>
        <w:rFonts w:hint="default"/>
      </w:rPr>
    </w:lvl>
  </w:abstractNum>
  <w:abstractNum w:abstractNumId="5">
    <w:nsid w:val="4399E3E9"/>
    <w:multiLevelType w:val="singleLevel"/>
    <w:tmpl w:val="4399E3E9"/>
    <w:lvl w:ilvl="0" w:tentative="0">
      <w:start w:val="1"/>
      <w:numFmt w:val="decimal"/>
      <w:lvlText w:val="%1."/>
      <w:lvlJc w:val="left"/>
      <w:pPr>
        <w:ind w:left="425" w:hanging="425"/>
      </w:pPr>
      <w:rPr>
        <w:rFonts w:hint="default"/>
        <w:b w:val="0"/>
        <w:bCs w:val="0"/>
      </w:rPr>
    </w:lvl>
  </w:abstractNum>
  <w:abstractNum w:abstractNumId="6">
    <w:nsid w:val="499DBC6F"/>
    <w:multiLevelType w:val="singleLevel"/>
    <w:tmpl w:val="499DBC6F"/>
    <w:lvl w:ilvl="0" w:tentative="0">
      <w:start w:val="1"/>
      <w:numFmt w:val="decimal"/>
      <w:lvlText w:val="%1."/>
      <w:lvlJc w:val="left"/>
      <w:pPr>
        <w:ind w:left="425" w:hanging="425"/>
      </w:pPr>
      <w:rPr>
        <w:rFonts w:hint="default"/>
      </w:rPr>
    </w:lvl>
  </w:abstractNum>
  <w:abstractNum w:abstractNumId="7">
    <w:nsid w:val="7C991A24"/>
    <w:multiLevelType w:val="singleLevel"/>
    <w:tmpl w:val="7C991A24"/>
    <w:lvl w:ilvl="0" w:tentative="0">
      <w:start w:val="1"/>
      <w:numFmt w:val="decimal"/>
      <w:lvlText w:val="%1."/>
      <w:lvlJc w:val="left"/>
      <w:pPr>
        <w:ind w:left="425" w:hanging="425"/>
      </w:pPr>
      <w:rPr>
        <w:rFonts w:hint="default"/>
      </w:rPr>
    </w:lvl>
  </w:abstractNum>
  <w:num w:numId="1">
    <w:abstractNumId w:val="7"/>
  </w:num>
  <w:num w:numId="2">
    <w:abstractNumId w:val="1"/>
  </w:num>
  <w:num w:numId="3">
    <w:abstractNumId w:val="4"/>
  </w:num>
  <w:num w:numId="4">
    <w:abstractNumId w:val="6"/>
  </w:num>
  <w:num w:numId="5">
    <w:abstractNumId w:val="0"/>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0NWMzMzkwNTkwMjhiNGQ2NDNmMDFiZDZlNmYzNzUifQ=="/>
  </w:docVars>
  <w:rsids>
    <w:rsidRoot w:val="4662319F"/>
    <w:rsid w:val="01633E9B"/>
    <w:rsid w:val="0B104AC5"/>
    <w:rsid w:val="0BCD6AE0"/>
    <w:rsid w:val="20D83B05"/>
    <w:rsid w:val="214D67FD"/>
    <w:rsid w:val="215C64E4"/>
    <w:rsid w:val="28CF1142"/>
    <w:rsid w:val="2AB23625"/>
    <w:rsid w:val="2D18610A"/>
    <w:rsid w:val="2D2916FA"/>
    <w:rsid w:val="36CE5337"/>
    <w:rsid w:val="3E691DE9"/>
    <w:rsid w:val="4662319F"/>
    <w:rsid w:val="489509A3"/>
    <w:rsid w:val="4BE64B62"/>
    <w:rsid w:val="4F1836D9"/>
    <w:rsid w:val="62C71298"/>
    <w:rsid w:val="7BB23A06"/>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line="560" w:lineRule="exact"/>
      <w:ind w:left="300"/>
    </w:pPr>
    <w:rPr>
      <w:sz w:val="24"/>
    </w:rPr>
  </w:style>
  <w:style w:type="paragraph" w:styleId="3">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4">
    <w:name w:val="Body Text First Indent 2"/>
    <w:basedOn w:val="2"/>
    <w:unhideWhenUsed/>
    <w:qFormat/>
    <w:uiPriority w:val="99"/>
    <w:pPr>
      <w:ind w:firstLine="420" w:firstLineChars="200"/>
    </w:pPr>
  </w:style>
  <w:style w:type="character" w:customStyle="1" w:styleId="7">
    <w:name w:val="font31"/>
    <w:basedOn w:val="6"/>
    <w:qFormat/>
    <w:uiPriority w:val="0"/>
    <w:rPr>
      <w:rFonts w:hint="eastAsia" w:ascii="宋体" w:hAnsi="宋体" w:eastAsia="宋体" w:cs="宋体"/>
      <w:b/>
      <w:bCs/>
      <w:color w:val="000000"/>
      <w:sz w:val="20"/>
      <w:szCs w:val="20"/>
      <w:u w:val="none"/>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2080</Words>
  <Characters>2205</Characters>
  <Lines>0</Lines>
  <Paragraphs>0</Paragraphs>
  <TotalTime>11</TotalTime>
  <ScaleCrop>false</ScaleCrop>
  <LinksUpToDate>false</LinksUpToDate>
  <CharactersWithSpaces>2207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2024-07-10T03:34:00Z</dcterms:created>
  <dc:creator>8237476879</dc:creator>
  <cp:lastModifiedBy>WPS_1474192923</cp:lastModifiedBy>
  <dcterms:modified xsi:type="dcterms:W3CDTF">2024-07-30T09:33:52Z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5A46C3CFC671474A993DB0F02712C81D_11</vt:lpwstr>
  </property>
</Properties>
</file>