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曲江区市政管理中心路灯维修配件采购项目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采购需求</w:t>
      </w:r>
      <w:bookmarkStart w:id="0" w:name="_GoBack"/>
      <w:bookmarkEnd w:id="0"/>
    </w:p>
    <w:p>
      <w:pPr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采购项目技术规格、参数及其他要求</w:t>
      </w:r>
    </w:p>
    <w:p>
      <w:pPr>
        <w:pStyle w:val="7"/>
        <w:numPr>
          <w:ilvl w:val="0"/>
          <w:numId w:val="0"/>
        </w:numPr>
        <w:spacing w:line="240" w:lineRule="auto"/>
        <w:ind w:firstLine="561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采购需求一览表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1894"/>
        <w:gridCol w:w="870"/>
        <w:gridCol w:w="1635"/>
        <w:gridCol w:w="1904"/>
        <w:gridCol w:w="13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采购内容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数量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技术需求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交货期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预算金额</w:t>
            </w:r>
            <w:r>
              <w:rPr>
                <w:rFonts w:hint="eastAsia" w:ascii="宋体" w:hAnsi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  <w:jc w:val="center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曲江区市政管理中心路灯维修配件采购项目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1项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详见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2、采购标的清单、技术规格及参数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自合同签订之日起60日历天内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200,540.00</w:t>
            </w:r>
          </w:p>
        </w:tc>
      </w:tr>
    </w:tbl>
    <w:p>
      <w:pPr>
        <w:pStyle w:val="7"/>
        <w:numPr>
          <w:ilvl w:val="0"/>
          <w:numId w:val="0"/>
        </w:numPr>
        <w:spacing w:line="240" w:lineRule="auto"/>
        <w:ind w:firstLine="210" w:firstLineChars="100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注：1、报价超出预算金额的列为无效投标处理。</w:t>
      </w:r>
    </w:p>
    <w:p>
      <w:pPr>
        <w:pStyle w:val="7"/>
        <w:numPr>
          <w:ilvl w:val="0"/>
          <w:numId w:val="0"/>
        </w:numPr>
        <w:spacing w:line="240" w:lineRule="auto"/>
        <w:ind w:firstLine="561" w:firstLineChars="0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2、投标人应对所投项目全部内容进行投标报价，如有缺漏，将导致投标无效。</w:t>
      </w:r>
    </w:p>
    <w:p>
      <w:pPr>
        <w:pStyle w:val="7"/>
        <w:numPr>
          <w:ilvl w:val="0"/>
          <w:numId w:val="0"/>
        </w:numPr>
        <w:spacing w:line="240" w:lineRule="auto"/>
        <w:ind w:firstLine="561" w:firstLineChars="0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3、投标报价应为人民币含税全包价，包括运输、验收等一切费用。</w:t>
      </w:r>
    </w:p>
    <w:p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7"/>
        <w:numPr>
          <w:ilvl w:val="0"/>
          <w:numId w:val="0"/>
        </w:numPr>
        <w:spacing w:line="240" w:lineRule="auto"/>
        <w:ind w:firstLine="561" w:firstLine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采购标的清单、技术规格及参数</w:t>
      </w:r>
    </w:p>
    <w:tbl>
      <w:tblPr>
        <w:tblStyle w:val="5"/>
        <w:tblW w:w="50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1905"/>
        <w:gridCol w:w="3751"/>
        <w:gridCol w:w="1278"/>
        <w:gridCol w:w="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37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112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名称规格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技术规格参数</w:t>
            </w:r>
          </w:p>
        </w:tc>
        <w:tc>
          <w:tcPr>
            <w:tcW w:w="75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单位</w:t>
            </w:r>
          </w:p>
        </w:tc>
        <w:tc>
          <w:tcPr>
            <w:tcW w:w="54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  <w:jc w:val="center"/>
        </w:trPr>
        <w:tc>
          <w:tcPr>
            <w:tcW w:w="37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12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LED路灯灯具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1.名称：LED路灯灯具（含电源）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2.规格型号：1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0W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3.路灯采用参数4500Km,下半夜自动降功率输出，以实现下半夜节能控制，LP68级以上的LED防水灯具（含电源）</w:t>
            </w:r>
          </w:p>
        </w:tc>
        <w:tc>
          <w:tcPr>
            <w:tcW w:w="75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盏</w:t>
            </w:r>
          </w:p>
        </w:tc>
        <w:tc>
          <w:tcPr>
            <w:tcW w:w="54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37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12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LED路灯灯具</w:t>
            </w:r>
          </w:p>
        </w:tc>
        <w:tc>
          <w:tcPr>
            <w:tcW w:w="221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1.名称：LED路灯灯具（含电源）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2.规格型号：100W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3.路灯采用参数4500Km,下半夜自动降功率输出，以实现下半夜节能控制，LP68级以上的LED防水灯具（含电源）</w:t>
            </w:r>
          </w:p>
        </w:tc>
        <w:tc>
          <w:tcPr>
            <w:tcW w:w="75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盏</w:t>
            </w:r>
          </w:p>
        </w:tc>
        <w:tc>
          <w:tcPr>
            <w:tcW w:w="54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150</w:t>
            </w:r>
          </w:p>
        </w:tc>
      </w:tr>
    </w:tbl>
    <w:p>
      <w:pPr>
        <w:pStyle w:val="7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7"/>
        <w:spacing w:line="360" w:lineRule="auto"/>
        <w:ind w:firstLine="0"/>
        <w:rPr>
          <w:rFonts w:hint="eastAsia" w:ascii="宋体" w:hAnsi="宋体" w:eastAsia="宋体" w:cs="宋体"/>
          <w:b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采购项目商务要求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 xml:space="preserve"> </w:t>
      </w:r>
    </w:p>
    <w:p>
      <w:pPr>
        <w:tabs>
          <w:tab w:val="left" w:pos="3210"/>
        </w:tabs>
        <w:spacing w:line="360" w:lineRule="auto"/>
        <w:ind w:left="1465" w:leftChars="57" w:hanging="1345" w:hangingChars="638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（一）供货时间及供货地点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供货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期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：自合同签订之日起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60日历天内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Cs w:val="0"/>
          <w:color w:val="auto"/>
          <w:spacing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供货地点：采购人指定地点。</w:t>
      </w:r>
    </w:p>
    <w:p>
      <w:pPr>
        <w:pStyle w:val="7"/>
        <w:spacing w:line="360" w:lineRule="auto"/>
        <w:ind w:firstLine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（二）服务需求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供货要求：货物为本次招标前原制造商制造的非淘汰类（淘汰类产品：特殊的、停产的、过时的、不常用等产品）全新合格产品，整机无污染，无侵权行为、表面无划损、无任何缺陷隐患，在中国境内可依常规安全合法使用。货物为原厂商未启封全新包装，具出厂合格证，序列号、包装箱号、出厂日期与出厂批号一致，并可追索查阅。应附关键主机设备的用户手册、保修手册、有关单证资料及配备件、随机工具等，设备使用操作及安全须知等重要资料应附有中文说明，质保期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质量要求：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可提供的材料不能低于原有材料的质量标准，双方可通过外观、光效、市场了解（价格），相互对比等方法进行比较，如采购人有合理理由确认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所提供的材料低于原有材料质量，则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无偿更换。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验收要求：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交付验收标准依次序对照适用标准为：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符合中华人民共和国国家安全质量标准、环保标准或行业标准；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符合采购文件和中标供应商投标文件的要求；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货物来源国，官方标准。</w:t>
      </w:r>
    </w:p>
    <w:p>
      <w:pPr>
        <w:pStyle w:val="7"/>
        <w:spacing w:line="360" w:lineRule="auto"/>
        <w:ind w:firstLine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（三）LED路灯需求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商务服务承诺：LED灯具产品包装要求：每套灯具独立包装，纸箱包装内2端配有减震棉，并且保证灯具本体与包装箱体无直接接触；包装箱内含灯具维修使用的工具、备件、说明书等；此次项目采购材料部分为抢修材料，货物的交货期为收到采购单位传真订单后5个日历天送货到采购人指定地点，每次采购最低订货量为1套，含卸车、搬运、开箱检验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售后服务承诺：免费为采购单位提供供应货物比例不低于2%的备品备件，质量缺陷响应时间小于48小时。</w:t>
      </w:r>
    </w:p>
    <w:p>
      <w:pPr>
        <w:pStyle w:val="7"/>
        <w:spacing w:line="360" w:lineRule="auto"/>
        <w:ind w:firstLine="0"/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四）付款方式</w:t>
      </w:r>
    </w:p>
    <w:p>
      <w:pPr>
        <w:pStyle w:val="7"/>
        <w:spacing w:line="360" w:lineRule="auto"/>
        <w:ind w:firstLine="420" w:firstLineChars="200"/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合同签订生效，项目验收合格后，采购人向成交供应商支付合同总金额的100%。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>（支付款项时，成交供应商须向采购人提供正确金额的正式发票）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>
      <w:pPr>
        <w:pStyle w:val="4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4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4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4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4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4Y2Y1ODY4MmFkNzIxNmJmYWFhNTkwOTYyMmUzZjYifQ=="/>
  </w:docVars>
  <w:rsids>
    <w:rsidRoot w:val="0EFE0404"/>
    <w:rsid w:val="0EFE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</w:pPr>
    <w:rPr>
      <w:bCs/>
      <w:spacing w:val="10"/>
      <w:sz w:val="24"/>
      <w:szCs w:val="20"/>
    </w:rPr>
  </w:style>
  <w:style w:type="paragraph" w:styleId="3">
    <w:name w:val="Body Text Indent"/>
    <w:basedOn w:val="1"/>
    <w:qFormat/>
    <w:uiPriority w:val="0"/>
    <w:pPr>
      <w:spacing w:line="360" w:lineRule="auto"/>
      <w:ind w:left="425" w:firstLine="518" w:firstLineChars="216"/>
    </w:pPr>
    <w:rPr>
      <w:rFonts w:ascii="楷体_GB2312" w:eastAsia="楷体_GB2312"/>
      <w:sz w:val="24"/>
    </w:rPr>
  </w:style>
  <w:style w:type="paragraph" w:styleId="4">
    <w:name w:val="Body Text First Indent 2"/>
    <w:basedOn w:val="3"/>
    <w:unhideWhenUsed/>
    <w:qFormat/>
    <w:uiPriority w:val="99"/>
    <w:pPr>
      <w:ind w:firstLine="420" w:firstLineChars="200"/>
    </w:pPr>
  </w:style>
  <w:style w:type="paragraph" w:customStyle="1" w:styleId="7">
    <w:name w:val="正文正"/>
    <w:basedOn w:val="1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2023-10-12T03:00:00Z</dcterms:created>
  <dc:creator>罗华秋</dc:creator>
  <cp:lastModifiedBy>罗华秋</cp:lastModifiedBy>
  <dcterms:modified xsi:type="dcterms:W3CDTF">2023-10-12T03:01:02Z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D6C5799723EB476CA6BDD0653136ED7F_11</vt:lpwstr>
  </property>
</Properties>
</file>