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Helvetica" w:hAnsi="Helvetica" w:eastAsia="Helvetica" w:cs="Helvetica"/>
          <w:b/>
          <w:bCs/>
          <w:i w:val="0"/>
          <w:iCs w:val="0"/>
          <w:caps w:val="0"/>
          <w:color w:val="000000" w:themeColor="text1"/>
          <w:spacing w:val="0"/>
          <w:sz w:val="21"/>
          <w:szCs w:val="21"/>
          <w:shd w:val="clear" w:fill="FFFFFF"/>
          <w14:textFill>
            <w14:solidFill>
              <w14:schemeClr w14:val="tx1"/>
            </w14:solidFill>
          </w14:textFill>
        </w:rPr>
      </w:pPr>
    </w:p>
    <w:p>
      <w:pPr>
        <w:spacing w:line="240" w:lineRule="auto"/>
        <w:jc w:val="center"/>
        <w:rPr>
          <w:rFonts w:hint="default"/>
          <w:b/>
          <w:bCs/>
          <w:color w:val="auto"/>
          <w:sz w:val="32"/>
          <w:szCs w:val="32"/>
          <w:lang w:val="en-US" w:eastAsia="zh-CN"/>
        </w:rPr>
      </w:pPr>
      <w:bookmarkStart w:id="2" w:name="_GoBack"/>
      <w:r>
        <w:rPr>
          <w:rFonts w:hint="eastAsia"/>
          <w:b/>
          <w:bCs/>
          <w:color w:val="auto"/>
          <w:sz w:val="32"/>
          <w:szCs w:val="32"/>
          <w:lang w:val="en-US" w:eastAsia="zh-CN"/>
        </w:rPr>
        <w:t>韶关市社会福利院儿童体检项目采购需求</w:t>
      </w:r>
    </w:p>
    <w:bookmarkEnd w:id="2"/>
    <w:p>
      <w:pPr>
        <w:numPr>
          <w:ilvl w:val="0"/>
          <w:numId w:val="0"/>
        </w:numPr>
        <w:spacing w:line="240" w:lineRule="auto"/>
        <w:rPr>
          <w:rFonts w:hint="eastAsia" w:ascii="宋体" w:hAnsi="宋体" w:eastAsia="宋体" w:cs="宋体"/>
          <w:b w:val="0"/>
          <w:bCs w:val="0"/>
          <w:color w:val="auto"/>
          <w:sz w:val="21"/>
          <w:szCs w:val="21"/>
          <w:lang w:val="en-US" w:eastAsia="zh-CN"/>
        </w:rPr>
      </w:pPr>
    </w:p>
    <w:p>
      <w:pPr>
        <w:numPr>
          <w:ilvl w:val="0"/>
          <w:numId w:val="0"/>
        </w:numPr>
        <w:spacing w:line="240" w:lineRule="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kern w:val="2"/>
          <w:sz w:val="21"/>
          <w:szCs w:val="21"/>
          <w:vertAlign w:val="baseline"/>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9"/>
        <w:numPr>
          <w:ilvl w:val="0"/>
          <w:numId w:val="0"/>
        </w:numPr>
        <w:spacing w:line="240" w:lineRule="auto"/>
        <w:ind w:left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(一)采购需求一览表</w:t>
      </w:r>
    </w:p>
    <w:tbl>
      <w:tblPr>
        <w:tblStyle w:val="10"/>
        <w:tblW w:w="4998" w:type="pct"/>
        <w:jc w:val="center"/>
        <w:tblLayout w:type="autofit"/>
        <w:tblCellMar>
          <w:top w:w="0" w:type="dxa"/>
          <w:left w:w="0" w:type="dxa"/>
          <w:bottom w:w="0" w:type="dxa"/>
          <w:right w:w="0" w:type="dxa"/>
        </w:tblCellMar>
      </w:tblPr>
      <w:tblGrid>
        <w:gridCol w:w="665"/>
        <w:gridCol w:w="2054"/>
        <w:gridCol w:w="945"/>
        <w:gridCol w:w="1190"/>
        <w:gridCol w:w="1992"/>
        <w:gridCol w:w="1487"/>
      </w:tblGrid>
      <w:tr>
        <w:tblPrEx>
          <w:tblCellMar>
            <w:top w:w="0" w:type="dxa"/>
            <w:left w:w="0" w:type="dxa"/>
            <w:bottom w:w="0" w:type="dxa"/>
            <w:right w:w="0" w:type="dxa"/>
          </w:tblCellMar>
        </w:tblPrEx>
        <w:trPr>
          <w:trHeight w:val="279"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rPr>
            </w:pPr>
            <w:r>
              <w:rPr>
                <w:rFonts w:hint="eastAsia" w:ascii="宋体" w:hAnsi="宋体" w:eastAsia="宋体" w:cs="宋体"/>
                <w:b w:val="0"/>
                <w:bCs w:val="0"/>
                <w:i w:val="0"/>
                <w:color w:val="auto"/>
                <w:kern w:val="0"/>
                <w:sz w:val="21"/>
                <w:szCs w:val="21"/>
                <w:u w:val="none"/>
                <w:lang w:val="en-US" w:eastAsia="zh-CN" w:bidi="ar"/>
              </w:rPr>
              <w:t>序号</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rPr>
            </w:pPr>
            <w:r>
              <w:rPr>
                <w:rFonts w:hint="eastAsia" w:ascii="宋体" w:hAnsi="宋体" w:eastAsia="宋体" w:cs="宋体"/>
                <w:b w:val="0"/>
                <w:bCs w:val="0"/>
                <w:i w:val="0"/>
                <w:color w:val="auto"/>
                <w:kern w:val="0"/>
                <w:sz w:val="21"/>
                <w:szCs w:val="21"/>
                <w:u w:val="none"/>
                <w:lang w:val="en-US" w:eastAsia="zh-CN" w:bidi="ar"/>
              </w:rPr>
              <w:t>采购内容</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数量</w:t>
            </w:r>
          </w:p>
        </w:tc>
        <w:tc>
          <w:tcPr>
            <w:tcW w:w="71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服务要求</w:t>
            </w:r>
          </w:p>
        </w:tc>
        <w:tc>
          <w:tcPr>
            <w:tcW w:w="119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服务期</w:t>
            </w:r>
          </w:p>
        </w:tc>
        <w:tc>
          <w:tcPr>
            <w:tcW w:w="89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预算金额</w:t>
            </w:r>
          </w:p>
        </w:tc>
      </w:tr>
      <w:tr>
        <w:tblPrEx>
          <w:tblCellMar>
            <w:top w:w="0" w:type="dxa"/>
            <w:left w:w="0" w:type="dxa"/>
            <w:bottom w:w="0" w:type="dxa"/>
            <w:right w:w="0" w:type="dxa"/>
          </w:tblCellMar>
        </w:tblPrEx>
        <w:trPr>
          <w:trHeight w:val="139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韶关市社会福利院儿童体检项目</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1项</w:t>
            </w:r>
          </w:p>
        </w:tc>
        <w:tc>
          <w:tcPr>
            <w:tcW w:w="71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详见</w:t>
            </w:r>
            <w:r>
              <w:rPr>
                <w:rFonts w:hint="eastAsia" w:ascii="宋体" w:hAnsi="宋体" w:eastAsia="宋体" w:cs="宋体"/>
                <w:b w:val="0"/>
                <w:bCs w:val="0"/>
                <w:color w:val="auto"/>
                <w:sz w:val="21"/>
                <w:szCs w:val="21"/>
                <w:lang w:val="en-US" w:eastAsia="zh-CN"/>
              </w:rPr>
              <w:t>本项目服务要求</w:t>
            </w:r>
          </w:p>
        </w:tc>
        <w:tc>
          <w:tcPr>
            <w:tcW w:w="119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i w:val="0"/>
                <w:color w:val="auto"/>
                <w:kern w:val="2"/>
                <w:sz w:val="21"/>
                <w:szCs w:val="21"/>
                <w:u w:val="none"/>
                <w:lang w:val="en-US" w:eastAsia="zh-CN" w:bidi="ar-SA"/>
              </w:rPr>
              <w:t>体检完成期限是9月30日前</w:t>
            </w:r>
          </w:p>
        </w:tc>
        <w:tc>
          <w:tcPr>
            <w:tcW w:w="89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color w:val="auto"/>
                <w:kern w:val="16"/>
                <w:sz w:val="21"/>
                <w:szCs w:val="21"/>
                <w:lang w:val="en-US" w:eastAsia="zh-CN"/>
              </w:rPr>
              <w:t>¥48</w:t>
            </w:r>
            <w:r>
              <w:rPr>
                <w:rFonts w:hint="eastAsia" w:ascii="宋体" w:hAnsi="宋体" w:eastAsia="宋体" w:cs="宋体"/>
                <w:b w:val="0"/>
                <w:bCs w:val="0"/>
                <w:color w:val="auto"/>
                <w:kern w:val="16"/>
                <w:sz w:val="21"/>
                <w:szCs w:val="21"/>
                <w:lang w:eastAsia="zh-CN"/>
              </w:rPr>
              <w:t>,000.00</w:t>
            </w:r>
          </w:p>
        </w:tc>
      </w:tr>
    </w:tbl>
    <w:p>
      <w:pPr>
        <w:snapToGrid/>
        <w:spacing w:before="0" w:beforeAutospacing="0" w:after="0" w:afterAutospacing="0" w:line="360" w:lineRule="auto"/>
        <w:ind w:left="630" w:right="-197" w:hanging="630" w:hangingChars="300"/>
        <w:jc w:val="left"/>
        <w:textAlignment w:val="baseline"/>
        <w:rPr>
          <w:rStyle w:val="14"/>
          <w:rFonts w:hint="eastAsia" w:ascii="宋体" w:hAnsi="宋体" w:eastAsia="宋体" w:cs="宋体"/>
          <w:b w:val="0"/>
          <w:bCs w:val="0"/>
          <w:i w:val="0"/>
          <w:caps w:val="0"/>
          <w:color w:val="auto"/>
          <w:spacing w:val="0"/>
          <w:w w:val="100"/>
          <w:kern w:val="2"/>
          <w:sz w:val="21"/>
          <w:szCs w:val="21"/>
          <w:lang w:val="en-US" w:eastAsia="zh-CN" w:bidi="ar-SA"/>
        </w:rPr>
      </w:pPr>
      <w:r>
        <w:rPr>
          <w:rStyle w:val="14"/>
          <w:rFonts w:hint="eastAsia" w:ascii="宋体" w:hAnsi="宋体" w:eastAsia="宋体" w:cs="宋体"/>
          <w:b w:val="0"/>
          <w:bCs w:val="0"/>
          <w:i w:val="0"/>
          <w:caps w:val="0"/>
          <w:color w:val="auto"/>
          <w:spacing w:val="0"/>
          <w:w w:val="100"/>
          <w:kern w:val="2"/>
          <w:sz w:val="21"/>
          <w:szCs w:val="21"/>
          <w:lang w:val="en-US" w:eastAsia="zh-CN" w:bidi="ar-SA"/>
        </w:rPr>
        <w:t>注：1、投标人必须对所有体检项目报出一个统一的</w:t>
      </w:r>
      <w:r>
        <w:rPr>
          <w:rStyle w:val="14"/>
          <w:rFonts w:hint="eastAsia" w:ascii="宋体" w:hAnsi="宋体" w:eastAsia="宋体" w:cs="宋体"/>
          <w:b/>
          <w:bCs/>
          <w:i w:val="0"/>
          <w:caps w:val="0"/>
          <w:color w:val="auto"/>
          <w:spacing w:val="0"/>
          <w:w w:val="100"/>
          <w:kern w:val="2"/>
          <w:sz w:val="21"/>
          <w:szCs w:val="21"/>
          <w:u w:val="single"/>
          <w:lang w:val="en-US" w:eastAsia="zh-CN" w:bidi="ar-SA"/>
        </w:rPr>
        <w:t>投标折扣率</w:t>
      </w:r>
      <w:r>
        <w:rPr>
          <w:rStyle w:val="14"/>
          <w:rFonts w:hint="eastAsia" w:ascii="宋体" w:hAnsi="宋体" w:eastAsia="宋体" w:cs="宋体"/>
          <w:b w:val="0"/>
          <w:bCs w:val="0"/>
          <w:i w:val="0"/>
          <w:caps w:val="0"/>
          <w:color w:val="auto"/>
          <w:spacing w:val="0"/>
          <w:w w:val="100"/>
          <w:kern w:val="2"/>
          <w:sz w:val="21"/>
          <w:szCs w:val="21"/>
          <w:lang w:val="en-US" w:eastAsia="zh-CN" w:bidi="ar-SA"/>
        </w:rPr>
        <w:t>，不允许不同体检项目报不同的折扣率，否则按无效报价处理。</w:t>
      </w:r>
    </w:p>
    <w:p>
      <w:pPr>
        <w:snapToGrid/>
        <w:spacing w:before="0" w:beforeAutospacing="0" w:after="0" w:afterAutospacing="0" w:line="360" w:lineRule="auto"/>
        <w:ind w:left="630" w:leftChars="300" w:right="-197" w:firstLine="0" w:firstLineChars="0"/>
        <w:jc w:val="left"/>
        <w:textAlignment w:val="baseline"/>
        <w:rPr>
          <w:rStyle w:val="14"/>
          <w:rFonts w:hint="eastAsia" w:ascii="宋体" w:hAnsi="宋体" w:eastAsia="宋体" w:cs="宋体"/>
          <w:b w:val="0"/>
          <w:bCs w:val="0"/>
          <w:i w:val="0"/>
          <w:caps w:val="0"/>
          <w:color w:val="auto"/>
          <w:spacing w:val="0"/>
          <w:w w:val="100"/>
          <w:kern w:val="2"/>
          <w:sz w:val="21"/>
          <w:szCs w:val="21"/>
          <w:lang w:val="en-US" w:eastAsia="zh-CN" w:bidi="ar-SA"/>
        </w:rPr>
      </w:pPr>
      <w:r>
        <w:rPr>
          <w:rStyle w:val="14"/>
          <w:rFonts w:hint="eastAsia" w:ascii="宋体" w:hAnsi="宋体" w:eastAsia="宋体" w:cs="宋体"/>
          <w:b w:val="0"/>
          <w:bCs w:val="0"/>
          <w:i w:val="0"/>
          <w:caps w:val="0"/>
          <w:color w:val="auto"/>
          <w:spacing w:val="0"/>
          <w:w w:val="100"/>
          <w:kern w:val="2"/>
          <w:sz w:val="21"/>
          <w:szCs w:val="21"/>
          <w:lang w:val="en-US" w:eastAsia="zh-CN" w:bidi="ar-SA"/>
        </w:rPr>
        <w:t xml:space="preserve">2、投标人须对本项目的体检服务进行整体响应，任何只对其中一部分内容进行的响应都被视为无效响应，投标报价超过最高限价为无效报价。 </w:t>
      </w:r>
    </w:p>
    <w:p>
      <w:pPr>
        <w:spacing w:line="240" w:lineRule="auto"/>
        <w:ind w:firstLine="420" w:firstLineChars="200"/>
        <w:jc w:val="center"/>
        <w:rPr>
          <w:rFonts w:hint="eastAsia" w:ascii="宋体" w:hAnsi="宋体" w:eastAsia="宋体" w:cs="宋体"/>
          <w:b w:val="0"/>
          <w:bCs w:val="0"/>
          <w:color w:val="auto"/>
          <w:sz w:val="21"/>
          <w:szCs w:val="21"/>
          <w:lang w:val="en-US" w:eastAsia="zh-CN"/>
        </w:rPr>
      </w:pPr>
    </w:p>
    <w:p>
      <w:pPr>
        <w:snapToGrid/>
        <w:spacing w:before="0" w:beforeAutospacing="0" w:after="0" w:afterAutospacing="0" w:line="240" w:lineRule="auto"/>
        <w:ind w:left="630" w:right="-197" w:hanging="632" w:hangingChars="300"/>
        <w:jc w:val="left"/>
        <w:textAlignment w:val="baseline"/>
        <w:rPr>
          <w:rStyle w:val="14"/>
          <w:rFonts w:hint="eastAsia" w:ascii="宋体" w:hAnsi="宋体" w:eastAsia="宋体" w:cs="宋体"/>
          <w:b/>
          <w:bCs/>
          <w:i w:val="0"/>
          <w:caps w:val="0"/>
          <w:color w:val="auto"/>
          <w:spacing w:val="0"/>
          <w:w w:val="100"/>
          <w:kern w:val="2"/>
          <w:sz w:val="21"/>
          <w:szCs w:val="21"/>
          <w:lang w:val="en-US" w:eastAsia="zh-CN" w:bidi="ar-SA"/>
        </w:rPr>
      </w:pPr>
      <w:r>
        <w:rPr>
          <w:rStyle w:val="14"/>
          <w:rFonts w:hint="eastAsia" w:ascii="宋体" w:hAnsi="宋体" w:eastAsia="宋体" w:cs="宋体"/>
          <w:b/>
          <w:bCs/>
          <w:i w:val="0"/>
          <w:caps w:val="0"/>
          <w:color w:val="auto"/>
          <w:spacing w:val="0"/>
          <w:w w:val="100"/>
          <w:kern w:val="2"/>
          <w:sz w:val="21"/>
          <w:szCs w:val="21"/>
          <w:lang w:val="en-US" w:eastAsia="zh-CN" w:bidi="ar-SA"/>
        </w:rPr>
        <w:t>（二）体检项目清单及单项最高限价表：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3586"/>
        <w:gridCol w:w="2114"/>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序号</w:t>
            </w:r>
          </w:p>
        </w:tc>
        <w:tc>
          <w:tcPr>
            <w:tcW w:w="3586" w:type="dxa"/>
            <w:noWrap w:val="0"/>
            <w:vAlign w:val="center"/>
          </w:tcPr>
          <w:p>
            <w:pPr>
              <w:numPr>
                <w:ilvl w:val="0"/>
                <w:numId w:val="0"/>
              </w:numPr>
              <w:spacing w:line="240" w:lineRule="auto"/>
              <w:jc w:val="center"/>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体检项目</w:t>
            </w:r>
          </w:p>
        </w:tc>
        <w:tc>
          <w:tcPr>
            <w:tcW w:w="2114" w:type="dxa"/>
            <w:noWrap w:val="0"/>
            <w:vAlign w:val="center"/>
          </w:tcPr>
          <w:p>
            <w:pPr>
              <w:numPr>
                <w:ilvl w:val="0"/>
                <w:numId w:val="0"/>
              </w:numPr>
              <w:spacing w:line="240" w:lineRule="auto"/>
              <w:jc w:val="center"/>
              <w:rPr>
                <w:rFonts w:hint="eastAsia"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单项最高限价（元）</w:t>
            </w:r>
          </w:p>
        </w:tc>
        <w:tc>
          <w:tcPr>
            <w:tcW w:w="1923" w:type="dxa"/>
            <w:noWrap w:val="0"/>
            <w:vAlign w:val="center"/>
          </w:tcPr>
          <w:p>
            <w:pPr>
              <w:numPr>
                <w:ilvl w:val="0"/>
                <w:numId w:val="0"/>
              </w:numPr>
              <w:spacing w:line="240" w:lineRule="auto"/>
              <w:jc w:val="center"/>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肝功组合(十三项)</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146</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2</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肾功组合(十一项)</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36</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3</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血脂四项</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30</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4</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血常规24项</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15</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5</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肺结核(抽血)结核菌抗体</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45</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6</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艾滋病</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38</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7</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梅毒</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50</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8</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肝吸虫抗体测定</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18</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9</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幽门螺旋杆菌抗体测定</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49</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10</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尿液分析</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9</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11</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乙肝两对半</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38</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12</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甲型肝炎</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22</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13</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丙型肝炎</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66</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14</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戊型肝炎</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65</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15</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胸部正侧位(DR)</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60</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16</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沙门菌、志贺菌培养及鉴定(大便)</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132</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17</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肝胆脾胰彩色B超</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120</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18</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泌尿系统彩色B超</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120</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19</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心电图</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40</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20</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测血压、身高、体重(一般体检)</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30</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21</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内科</w:t>
            </w:r>
          </w:p>
        </w:tc>
        <w:tc>
          <w:tcPr>
            <w:tcW w:w="2114" w:type="dxa"/>
            <w:noWrap w:val="0"/>
            <w:vAlign w:val="center"/>
          </w:tcPr>
          <w:p>
            <w:pPr>
              <w:numPr>
                <w:ilvl w:val="0"/>
                <w:numId w:val="0"/>
              </w:numPr>
              <w:spacing w:line="240" w:lineRule="auto"/>
              <w:jc w:val="center"/>
              <w:rPr>
                <w:rFonts w:hint="eastAsia" w:eastAsia="宋体" w:cs="Times New Roman"/>
                <w:color w:val="auto"/>
                <w:sz w:val="21"/>
                <w:szCs w:val="21"/>
                <w:vertAlign w:val="baseline"/>
                <w:lang w:val="en-US" w:eastAsia="zh-CN"/>
              </w:rPr>
            </w:pP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22</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外科</w:t>
            </w:r>
          </w:p>
        </w:tc>
        <w:tc>
          <w:tcPr>
            <w:tcW w:w="2114" w:type="dxa"/>
            <w:noWrap w:val="0"/>
            <w:vAlign w:val="center"/>
          </w:tcPr>
          <w:p>
            <w:pPr>
              <w:numPr>
                <w:ilvl w:val="0"/>
                <w:numId w:val="0"/>
              </w:numPr>
              <w:spacing w:line="240" w:lineRule="auto"/>
              <w:jc w:val="center"/>
              <w:rPr>
                <w:rFonts w:hint="eastAsia" w:eastAsia="宋体" w:cs="Times New Roman"/>
                <w:color w:val="auto"/>
                <w:sz w:val="21"/>
                <w:szCs w:val="21"/>
                <w:vertAlign w:val="baseline"/>
                <w:lang w:val="en-US" w:eastAsia="zh-CN"/>
              </w:rPr>
            </w:pP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23</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G6PD(蚕豆病)</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12</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dxa"/>
            <w:noWrap w:val="0"/>
            <w:vAlign w:val="center"/>
          </w:tcPr>
          <w:p>
            <w:pPr>
              <w:numPr>
                <w:ilvl w:val="0"/>
                <w:numId w:val="0"/>
              </w:numPr>
              <w:spacing w:line="240" w:lineRule="auto"/>
              <w:jc w:val="center"/>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24</w:t>
            </w:r>
          </w:p>
        </w:tc>
        <w:tc>
          <w:tcPr>
            <w:tcW w:w="3586" w:type="dxa"/>
            <w:noWrap w:val="0"/>
            <w:vAlign w:val="center"/>
          </w:tcPr>
          <w:p>
            <w:pPr>
              <w:numPr>
                <w:ilvl w:val="0"/>
                <w:numId w:val="0"/>
              </w:numPr>
              <w:spacing w:line="240" w:lineRule="auto"/>
              <w:jc w:val="center"/>
              <w:rPr>
                <w:rFonts w:hint="eastAsia" w:eastAsia="宋体" w:cs="Times New Roman"/>
                <w:sz w:val="21"/>
                <w:szCs w:val="21"/>
                <w:vertAlign w:val="baseline"/>
                <w:lang w:val="en-US" w:eastAsia="zh-CN"/>
              </w:rPr>
            </w:pPr>
            <w:r>
              <w:rPr>
                <w:rFonts w:hint="eastAsia" w:eastAsia="宋体" w:cs="Times New Roman"/>
                <w:sz w:val="21"/>
                <w:szCs w:val="21"/>
                <w:vertAlign w:val="baseline"/>
                <w:lang w:val="en-US" w:eastAsia="zh-CN"/>
              </w:rPr>
              <w:t>健康档案</w:t>
            </w:r>
          </w:p>
        </w:tc>
        <w:tc>
          <w:tcPr>
            <w:tcW w:w="2114" w:type="dxa"/>
            <w:noWrap w:val="0"/>
            <w:vAlign w:val="center"/>
          </w:tcPr>
          <w:p>
            <w:pPr>
              <w:numPr>
                <w:ilvl w:val="0"/>
                <w:numId w:val="0"/>
              </w:numPr>
              <w:spacing w:line="240" w:lineRule="auto"/>
              <w:jc w:val="center"/>
              <w:rPr>
                <w:rFonts w:hint="default" w:eastAsia="宋体" w:cs="Times New Roman"/>
                <w:color w:val="auto"/>
                <w:sz w:val="21"/>
                <w:szCs w:val="21"/>
                <w:vertAlign w:val="baseline"/>
                <w:lang w:val="en-US" w:eastAsia="zh-CN"/>
              </w:rPr>
            </w:pPr>
            <w:r>
              <w:rPr>
                <w:rFonts w:hint="eastAsia" w:eastAsia="宋体" w:cs="Times New Roman"/>
                <w:color w:val="auto"/>
                <w:sz w:val="21"/>
                <w:szCs w:val="21"/>
                <w:vertAlign w:val="baseline"/>
                <w:lang w:val="en-US" w:eastAsia="zh-CN"/>
              </w:rPr>
              <w:t>5</w:t>
            </w:r>
          </w:p>
        </w:tc>
        <w:tc>
          <w:tcPr>
            <w:tcW w:w="1923" w:type="dxa"/>
            <w:noWrap w:val="0"/>
            <w:vAlign w:val="center"/>
          </w:tcPr>
          <w:p>
            <w:pPr>
              <w:numPr>
                <w:ilvl w:val="0"/>
                <w:numId w:val="0"/>
              </w:numPr>
              <w:spacing w:line="240" w:lineRule="auto"/>
              <w:jc w:val="center"/>
              <w:rPr>
                <w:rFonts w:hint="eastAsia"/>
                <w:sz w:val="21"/>
                <w:szCs w:val="21"/>
                <w:vertAlign w:val="baseline"/>
                <w:lang w:val="en-US" w:eastAsia="zh-CN"/>
              </w:rPr>
            </w:pPr>
          </w:p>
        </w:tc>
      </w:tr>
    </w:tbl>
    <w:p>
      <w:pPr>
        <w:numPr>
          <w:ilvl w:val="0"/>
          <w:numId w:val="0"/>
        </w:numPr>
        <w:spacing w:line="240" w:lineRule="auto"/>
        <w:rPr>
          <w:rFonts w:hint="default"/>
          <w:sz w:val="21"/>
          <w:szCs w:val="21"/>
          <w:lang w:val="en-US" w:eastAsia="zh-CN"/>
        </w:rPr>
      </w:pPr>
    </w:p>
    <w:p>
      <w:pPr>
        <w:numPr>
          <w:ilvl w:val="0"/>
          <w:numId w:val="0"/>
        </w:numPr>
        <w:spacing w:line="240" w:lineRule="auto"/>
        <w:rPr>
          <w:rFonts w:hint="eastAsia" w:ascii="宋体" w:hAnsi="宋体" w:eastAsia="宋体" w:cs="宋体"/>
          <w:b/>
          <w:bCs/>
          <w:color w:val="auto"/>
          <w:sz w:val="21"/>
          <w:szCs w:val="21"/>
          <w:lang w:val="en-US" w:eastAsia="zh-CN"/>
        </w:rPr>
      </w:pPr>
      <w:bookmarkStart w:id="0" w:name="_Toc6349"/>
      <w:r>
        <w:rPr>
          <w:rFonts w:hint="eastAsia" w:ascii="宋体" w:hAnsi="宋体" w:cs="宋体"/>
          <w:b/>
          <w:bCs/>
          <w:color w:val="auto"/>
          <w:sz w:val="21"/>
          <w:szCs w:val="21"/>
          <w:lang w:val="en-US" w:eastAsia="zh-CN"/>
        </w:rPr>
        <w:t>二、</w:t>
      </w:r>
      <w:r>
        <w:rPr>
          <w:rFonts w:hint="eastAsia" w:ascii="宋体" w:hAnsi="宋体" w:eastAsia="宋体" w:cs="宋体"/>
          <w:b/>
          <w:bCs/>
          <w:color w:val="auto"/>
          <w:sz w:val="21"/>
          <w:szCs w:val="21"/>
          <w:lang w:val="en-US" w:eastAsia="zh-CN"/>
        </w:rPr>
        <w:t>服务要求</w:t>
      </w:r>
      <w:bookmarkEnd w:id="0"/>
    </w:p>
    <w:p>
      <w:pPr>
        <w:pStyle w:val="15"/>
        <w:numPr>
          <w:ilvl w:val="0"/>
          <w:numId w:val="0"/>
        </w:numPr>
        <w:spacing w:line="360" w:lineRule="auto"/>
        <w:ind w:firstLine="422" w:firstLineChars="200"/>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cs="宋体"/>
          <w:b/>
          <w:bCs/>
          <w:color w:val="auto"/>
          <w:sz w:val="21"/>
          <w:szCs w:val="21"/>
          <w:lang w:val="en-US" w:eastAsia="zh-CN"/>
        </w:rPr>
        <w:t>一</w:t>
      </w:r>
      <w:r>
        <w:rPr>
          <w:rFonts w:hint="eastAsia" w:ascii="宋体" w:hAnsi="宋体" w:eastAsia="宋体" w:cs="宋体"/>
          <w:b/>
          <w:bCs/>
          <w:color w:val="auto"/>
          <w:sz w:val="21"/>
          <w:szCs w:val="21"/>
          <w:lang w:val="en-US" w:eastAsia="zh-CN"/>
        </w:rPr>
        <w:t>）服务内容</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一、关于项目服务内容：</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1、体检时间：具体时间以采购人通知为准。</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2、参检人数：60名儿童。（以实际参检人数为准）</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3、体检项目安排：采购人选定项目和时间，具体人数以实际参加体检的人数为准。成交供应商为采购人提供体检后健康咨询，并对特殊人员开通绿色通道，费用包含在已报价的检查项目中，不另外收取费用。</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项目预算费用：48,000.00元。投标报价采用投报“投标折扣率（%）”的方式，投标折扣率报价区间为0%—100%，保留两位小数（如折扣率：90.00%）。包含所有体检服务人员的工资、保险、交通费、服务过程的一次性消耗品费用、检查仪器费用、税金等一切费用。</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5、采购人地址：韶关市武江区惠民北路477号</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6、投标人自身有能力为采购人有需要的体检人员提供就诊专家和住院病床预约、治疗等后续服务。</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7、投标人的服务效率高，且有缩短人工排队时间的相应措施。</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8、成交供应商所使用的体检设备或提供的服务应符合或优于国家现行相关标准。没有国家标准的执行现行的行业标准。</w:t>
      </w:r>
    </w:p>
    <w:p>
      <w:pPr>
        <w:pStyle w:val="15"/>
        <w:numPr>
          <w:ilvl w:val="0"/>
          <w:numId w:val="0"/>
        </w:numPr>
        <w:spacing w:line="360" w:lineRule="auto"/>
        <w:ind w:firstLine="422" w:firstLineChars="200"/>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（二）其他要求</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1、体检项目收费标准：按体检项目清单表中“单项最高限价”及成交折扣率定价，单项成交价=单项最高限价×成交折扣率；体检项目按参检人员实际进行安排，体检前具体由双方进行明确。</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2、合同服务期限：体检完成期限是9月30日前。 </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3、双方责任</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（1）采购人责任</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①采购人负责将参加体检人员的姓名、性别、年龄等相关资料及体检单位联系人的姓名和联系方式提前10个工作日提供给成交供应商。</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②在体检现场的采购人体检人员，应配合成交供应商医务人员的指导。</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③个别人员因特殊情况，不能按预定时间到医院进行体检的，经双方协调后再另行安排体检。</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④采购人应按约定，及时向成交供应商支付体检费用。结算时按实际体检人数和实际体检项目，按照项目成交折扣率计算实际体检费用。</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（2）成交供应商责任</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①在进行健康检查时，成交供应商使用的所有医疗器械应符合国家《医疗器械监督管理条例》的规定，针头、针筒、棉签等易耗品应为一次性合格产品。</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②成交供应商应于体检完成后10个工作日内提供完整有效的个人体检报告给采购人。未征得采购人同意，成交供应商不得将体检结果告诉第三人。体检项目出现危急值如恶性肿瘤等特殊情况时，应立即通知采购人。</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③根据采购人人员体检情况，给体检人员制定体检结果综合汇总表，可安排专家开展面对面的医疗健康咨询活动，帮助制定预防措施和提出合理化建议。</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④成交供应商应保障检查的真实性和准确性，负责体检的医务人员应原则性强、思想作风和业务水平良好，要以高度的责任感和良好的职业道德，做出公正、准确的体检结论。</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⑤成交供应商应确保体检当天安排符合规定要求的医护人员参与体检工作，成交供应商有责任确保体检当天有足够的医护人员和设备参加体检工作。</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⑥体检当天成交供应商应安排相关人员指引采购人参检人员有序体检并提供良好的服务。</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⑦若体检当天出现有个别人员有特殊原因未能参检，由双方另约补检时间，按确定的日期自行到成交供应商体检中心参加补检，成交供应商按本项目明确的责任进行安排，零星补检结束后10个工作日提供完整有效的个人体检报告给采购人或提供线上查询等。</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⑧成交供应商负责提前发放体检表，因其他原因需补充体检人员，成交供应商应及时补发。对体检过程发生的事件进行及时有效的处理，应设立服务质量投诉电话和服务质量征求意见表，对有关问题应及时答复和采取相应改进措施。</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p>
    <w:p>
      <w:pPr>
        <w:numPr>
          <w:ilvl w:val="0"/>
          <w:numId w:val="0"/>
        </w:numPr>
        <w:spacing w:line="360" w:lineRule="auto"/>
        <w:rPr>
          <w:rFonts w:hint="eastAsia" w:ascii="宋体" w:hAnsi="宋体" w:eastAsia="宋体" w:cs="宋体"/>
          <w:b/>
          <w:bCs/>
          <w:color w:val="auto"/>
          <w:sz w:val="21"/>
          <w:szCs w:val="21"/>
          <w:lang w:val="en-US" w:eastAsia="zh-CN"/>
        </w:rPr>
      </w:pPr>
      <w:bookmarkStart w:id="1" w:name="_Toc27147"/>
      <w:r>
        <w:rPr>
          <w:rFonts w:hint="eastAsia" w:ascii="宋体" w:hAnsi="宋体" w:cs="宋体"/>
          <w:b/>
          <w:bCs/>
          <w:color w:val="auto"/>
          <w:kern w:val="2"/>
          <w:sz w:val="21"/>
          <w:szCs w:val="21"/>
          <w:lang w:val="en-US" w:eastAsia="zh-CN" w:bidi="ar-SA"/>
        </w:rPr>
        <w:t>三</w:t>
      </w:r>
      <w:r>
        <w:rPr>
          <w:rFonts w:hint="eastAsia" w:ascii="宋体" w:hAnsi="宋体" w:eastAsia="宋体" w:cs="宋体"/>
          <w:b/>
          <w:bCs/>
          <w:color w:val="auto"/>
          <w:kern w:val="2"/>
          <w:sz w:val="21"/>
          <w:szCs w:val="21"/>
          <w:lang w:val="en-US" w:eastAsia="zh-CN" w:bidi="ar-SA"/>
        </w:rPr>
        <w:t>、</w:t>
      </w:r>
      <w:r>
        <w:rPr>
          <w:rFonts w:hint="eastAsia" w:ascii="宋体" w:hAnsi="宋体" w:eastAsia="宋体" w:cs="宋体"/>
          <w:b/>
          <w:bCs/>
          <w:color w:val="auto"/>
          <w:sz w:val="21"/>
          <w:szCs w:val="21"/>
          <w:lang w:val="en-US" w:eastAsia="zh-CN"/>
        </w:rPr>
        <w:t>商务要求</w:t>
      </w:r>
      <w:bookmarkEnd w:id="1"/>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（一）服务期：</w:t>
      </w:r>
      <w:r>
        <w:rPr>
          <w:rFonts w:hint="eastAsia" w:ascii="宋体" w:hAnsi="宋体" w:cs="宋体"/>
          <w:b w:val="0"/>
          <w:bCs w:val="0"/>
          <w:color w:val="auto"/>
          <w:sz w:val="21"/>
          <w:szCs w:val="21"/>
          <w:lang w:val="en-US" w:eastAsia="zh-CN"/>
        </w:rPr>
        <w:t>体检完成期限是9月30日前。</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二</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服务地点：</w:t>
      </w:r>
      <w:r>
        <w:rPr>
          <w:rFonts w:hint="eastAsia" w:ascii="宋体" w:hAnsi="宋体" w:cs="宋体"/>
          <w:b w:val="0"/>
          <w:bCs w:val="0"/>
          <w:color w:val="auto"/>
          <w:sz w:val="21"/>
          <w:szCs w:val="21"/>
          <w:lang w:val="en-US" w:eastAsia="zh-CN"/>
        </w:rPr>
        <w:t>成交供应商</w:t>
      </w:r>
      <w:r>
        <w:rPr>
          <w:rFonts w:hint="eastAsia" w:ascii="宋体" w:hAnsi="宋体" w:eastAsia="宋体" w:cs="宋体"/>
          <w:b w:val="0"/>
          <w:bCs w:val="0"/>
          <w:color w:val="auto"/>
          <w:sz w:val="21"/>
          <w:szCs w:val="21"/>
          <w:lang w:val="en-US" w:eastAsia="zh-CN"/>
        </w:rPr>
        <w:t>的体检中心或采购人指定地点，采购人可根据实际情况，要求</w:t>
      </w:r>
      <w:r>
        <w:rPr>
          <w:rFonts w:hint="eastAsia" w:ascii="宋体" w:hAnsi="宋体" w:cs="宋体"/>
          <w:b w:val="0"/>
          <w:bCs w:val="0"/>
          <w:color w:val="auto"/>
          <w:sz w:val="21"/>
          <w:szCs w:val="21"/>
          <w:lang w:val="en-US" w:eastAsia="zh-CN"/>
        </w:rPr>
        <w:t>成交供应商</w:t>
      </w:r>
      <w:r>
        <w:rPr>
          <w:rFonts w:hint="eastAsia" w:ascii="宋体" w:hAnsi="宋体" w:eastAsia="宋体" w:cs="宋体"/>
          <w:b w:val="0"/>
          <w:bCs w:val="0"/>
          <w:color w:val="auto"/>
          <w:sz w:val="21"/>
          <w:szCs w:val="21"/>
          <w:lang w:val="en-US" w:eastAsia="zh-CN"/>
        </w:rPr>
        <w:t>为部分体检人员提供上门体检服务，</w:t>
      </w:r>
      <w:r>
        <w:rPr>
          <w:rFonts w:hint="eastAsia" w:ascii="宋体" w:hAnsi="宋体" w:cs="宋体"/>
          <w:b w:val="0"/>
          <w:bCs w:val="0"/>
          <w:color w:val="auto"/>
          <w:sz w:val="21"/>
          <w:szCs w:val="21"/>
          <w:lang w:val="en-US" w:eastAsia="zh-CN"/>
        </w:rPr>
        <w:t>成交供应商</w:t>
      </w:r>
      <w:r>
        <w:rPr>
          <w:rFonts w:hint="eastAsia" w:ascii="宋体" w:hAnsi="宋体" w:eastAsia="宋体" w:cs="宋体"/>
          <w:b w:val="0"/>
          <w:bCs w:val="0"/>
          <w:color w:val="auto"/>
          <w:sz w:val="21"/>
          <w:szCs w:val="21"/>
          <w:lang w:val="en-US" w:eastAsia="zh-CN"/>
        </w:rPr>
        <w:t>必须按照要求在规定的时间内提供上门服务（上门服务产生的费用包含在投标报价内）。</w:t>
      </w:r>
    </w:p>
    <w:p>
      <w:pPr>
        <w:numPr>
          <w:ilvl w:val="0"/>
          <w:numId w:val="0"/>
        </w:numPr>
        <w:spacing w:line="360" w:lineRule="auto"/>
        <w:ind w:leftChars="0" w:firstLine="420" w:firstLineChars="200"/>
        <w:outlineLvl w:val="9"/>
        <w:rPr>
          <w:rFonts w:hint="eastAsia" w:ascii="宋体" w:hAnsi="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（三）服务验收</w:t>
      </w:r>
      <w:r>
        <w:rPr>
          <w:rFonts w:hint="eastAsia" w:ascii="宋体" w:hAnsi="宋体" w:cs="宋体"/>
          <w:b w:val="0"/>
          <w:bCs w:val="0"/>
          <w:color w:val="auto"/>
          <w:sz w:val="21"/>
          <w:szCs w:val="21"/>
          <w:lang w:val="en-US" w:eastAsia="zh-CN"/>
        </w:rPr>
        <w:t xml:space="preserve">：1、负责对采购人单位全体人员的体检结果进行总结，并建立个人健康档案，在体检服务完成后的 10 个工作日内提供给采购人，个人体检结果应单独封装。 </w:t>
      </w:r>
    </w:p>
    <w:p>
      <w:pPr>
        <w:numPr>
          <w:ilvl w:val="0"/>
          <w:numId w:val="0"/>
        </w:numPr>
        <w:spacing w:line="360" w:lineRule="auto"/>
        <w:ind w:leftChars="0"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2、根据本项目用户需求书的要求及成交供应商投标文件相关承诺，由采购人、成交供应商共同对体检后的材料提交进行验收。</w:t>
      </w:r>
    </w:p>
    <w:p>
      <w:pPr>
        <w:numPr>
          <w:ilvl w:val="0"/>
          <w:numId w:val="0"/>
        </w:numPr>
        <w:spacing w:line="360" w:lineRule="auto"/>
        <w:ind w:leftChars="0" w:firstLine="420" w:firstLineChars="200"/>
        <w:outlineLvl w:val="9"/>
        <w:rPr>
          <w:rFonts w:hint="eastAsia" w:ascii="宋体" w:hAnsi="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ascii="宋体" w:hAnsi="宋体" w:cs="宋体"/>
          <w:b w:val="0"/>
          <w:bCs w:val="0"/>
          <w:color w:val="auto"/>
          <w:sz w:val="21"/>
          <w:szCs w:val="21"/>
          <w:lang w:val="en-US" w:eastAsia="zh-CN"/>
        </w:rPr>
        <w:t>四</w:t>
      </w:r>
      <w:r>
        <w:rPr>
          <w:rFonts w:hint="eastAsia" w:ascii="宋体" w:hAnsi="宋体" w:eastAsia="宋体" w:cs="宋体"/>
          <w:b w:val="0"/>
          <w:bCs w:val="0"/>
          <w:color w:val="auto"/>
          <w:sz w:val="21"/>
          <w:szCs w:val="21"/>
          <w:lang w:val="en-US" w:eastAsia="zh-CN"/>
        </w:rPr>
        <w:t>）付款方式</w:t>
      </w:r>
      <w:r>
        <w:rPr>
          <w:rFonts w:hint="eastAsia" w:ascii="宋体" w:hAnsi="宋体" w:cs="宋体"/>
          <w:b w:val="0"/>
          <w:bCs w:val="0"/>
          <w:color w:val="auto"/>
          <w:sz w:val="21"/>
          <w:szCs w:val="21"/>
          <w:lang w:val="en-US" w:eastAsia="zh-CN"/>
        </w:rPr>
        <w:t>：</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自合同签订之日起，成交供应商完成所有体检服务并提供体检总结及健康档案，经采购人验收后,按实际体检总人数与实际体检项目及成交折扣率进行结算。 </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2、成交供应商凭以下有效文件与采购人结算： </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default" w:ascii="Calibri" w:hAnsi="Calibri" w:eastAsia="宋体" w:cs="Calibri"/>
          <w:b w:val="0"/>
          <w:bCs w:val="0"/>
          <w:color w:val="auto"/>
          <w:sz w:val="21"/>
          <w:szCs w:val="21"/>
          <w:lang w:val="en-US" w:eastAsia="zh-CN"/>
        </w:rPr>
        <w:t>①</w:t>
      </w:r>
      <w:r>
        <w:rPr>
          <w:rFonts w:hint="eastAsia" w:ascii="宋体" w:hAnsi="宋体" w:eastAsia="宋体" w:cs="宋体"/>
          <w:b w:val="0"/>
          <w:bCs w:val="0"/>
          <w:color w:val="auto"/>
          <w:sz w:val="21"/>
          <w:szCs w:val="21"/>
          <w:lang w:val="en-US" w:eastAsia="zh-CN"/>
        </w:rPr>
        <w:t xml:space="preserve">合同； </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default" w:ascii="Calibri" w:hAnsi="Calibri" w:eastAsia="宋体" w:cs="Calibri"/>
          <w:b w:val="0"/>
          <w:bCs w:val="0"/>
          <w:color w:val="auto"/>
          <w:sz w:val="21"/>
          <w:szCs w:val="21"/>
          <w:lang w:val="en-US" w:eastAsia="zh-CN"/>
        </w:rPr>
        <w:t>②</w:t>
      </w:r>
      <w:r>
        <w:rPr>
          <w:rFonts w:hint="eastAsia" w:ascii="宋体" w:hAnsi="宋体" w:eastAsia="宋体" w:cs="宋体"/>
          <w:b w:val="0"/>
          <w:bCs w:val="0"/>
          <w:color w:val="auto"/>
          <w:sz w:val="21"/>
          <w:szCs w:val="21"/>
          <w:lang w:val="en-US" w:eastAsia="zh-CN"/>
        </w:rPr>
        <w:t xml:space="preserve">成交供应商开具的正式发票； </w:t>
      </w:r>
    </w:p>
    <w:p>
      <w:pPr>
        <w:pStyle w:val="15"/>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default" w:ascii="Calibri" w:hAnsi="Calibri" w:eastAsia="宋体" w:cs="Calibri"/>
          <w:b w:val="0"/>
          <w:bCs w:val="0"/>
          <w:color w:val="auto"/>
          <w:sz w:val="21"/>
          <w:szCs w:val="21"/>
          <w:lang w:val="en-US" w:eastAsia="zh-CN"/>
        </w:rPr>
        <w:t>③</w:t>
      </w:r>
      <w:r>
        <w:rPr>
          <w:rFonts w:hint="eastAsia" w:ascii="宋体" w:hAnsi="宋体" w:eastAsia="宋体" w:cs="宋体"/>
          <w:b w:val="0"/>
          <w:bCs w:val="0"/>
          <w:color w:val="auto"/>
          <w:sz w:val="21"/>
          <w:szCs w:val="21"/>
          <w:lang w:val="en-US" w:eastAsia="zh-CN"/>
        </w:rPr>
        <w:t>中标通知书</w:t>
      </w:r>
    </w:p>
    <w:p>
      <w:pPr>
        <w:rPr>
          <w:rFonts w:ascii="Helvetica" w:hAnsi="Helvetica" w:eastAsia="Helvetica" w:cs="Helvetica"/>
          <w:b/>
          <w:bCs/>
          <w:i w:val="0"/>
          <w:iCs w:val="0"/>
          <w:caps w:val="0"/>
          <w:color w:val="000000" w:themeColor="text1"/>
          <w:spacing w:val="0"/>
          <w:sz w:val="21"/>
          <w:szCs w:val="21"/>
          <w:shd w:val="clear" w:fill="FFFFFF"/>
          <w14:textFill>
            <w14:solidFill>
              <w14:schemeClr w14:val="tx1"/>
            </w14:solidFill>
          </w14:textFill>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6935B0F"/>
    <w:rsid w:val="66935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Body Text Indent"/>
    <w:basedOn w:val="1"/>
    <w:qFormat/>
    <w:uiPriority w:val="0"/>
    <w:pPr>
      <w:spacing w:line="360" w:lineRule="auto"/>
      <w:ind w:left="425" w:firstLine="518" w:firstLineChars="216"/>
    </w:pPr>
    <w:rPr>
      <w:rFonts w:ascii="楷体_GB2312" w:eastAsia="楷体_GB2312"/>
      <w:sz w:val="24"/>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unhideWhenUsed/>
    <w:qFormat/>
    <w:uiPriority w:val="99"/>
    <w:pPr>
      <w:ind w:firstLine="420" w:firstLineChars="200"/>
    </w:p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customStyle="1" w:styleId="14">
    <w:name w:val="NormalCharacter"/>
    <w:semiHidden/>
    <w:qFormat/>
    <w:uiPriority w:val="0"/>
    <w:rPr>
      <w:rFonts w:ascii="Calibri" w:hAnsi="Calibri" w:eastAsia="宋体" w:cs="Times New Roman"/>
      <w:kern w:val="2"/>
      <w:sz w:val="21"/>
      <w:szCs w:val="24"/>
      <w:lang w:val="en-US" w:eastAsia="zh-CN" w:bidi="ar-SA"/>
    </w:rPr>
  </w:style>
  <w:style w:type="paragraph" w:customStyle="1" w:styleId="15">
    <w:name w:val="Normal Indent"/>
    <w:basedOn w:val="16"/>
    <w:qFormat/>
    <w:uiPriority w:val="0"/>
    <w:pPr>
      <w:widowControl/>
      <w:ind w:firstLine="420"/>
      <w:jc w:val="left"/>
    </w:pPr>
    <w:rPr>
      <w:rFonts w:ascii="Times New Roman" w:hAnsi="Times New Roman"/>
      <w:kern w:val="0"/>
      <w:szCs w:val="20"/>
    </w:rPr>
  </w:style>
  <w:style w:type="paragraph" w:customStyle="1" w:styleId="16">
    <w:name w:val="正文 New"/>
    <w:next w:val="15"/>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2023-08-08T07:12:00Z</dcterms:created>
  <dc:creator>罗华秋</dc:creator>
  <cp:lastModifiedBy>罗华秋</cp:lastModifiedBy>
  <cp:lastPrinted>2023-08-08T07:16:33Z</cp:lastPrinted>
  <dcterms:modified xsi:type="dcterms:W3CDTF">2023-08-08T08:54:34Z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BDC21EFBCC0B4AE2BB6647DD63EE740C_11</vt:lpwstr>
  </property>
</Properties>
</file>